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hd w:val="clear" w:color="auto" w:fill="FFFFFF"/>
        <w:spacing w:before="0" w:after="0"/>
        <w:ind w:hanging="0" w:right="62"/>
        <w:jc w:val="center"/>
        <w:rPr>
          <w:sz w:val="21"/>
          <w:szCs w:val="21"/>
        </w:rPr>
      </w:pPr>
      <w:r>
        <w:rPr>
          <w:rFonts w:eastAsia="" w:cs=""/>
          <w:b/>
          <w:bCs/>
          <w:color w:val="000000"/>
          <w:spacing w:val="-7"/>
          <w:kern w:val="0"/>
          <w:sz w:val="21"/>
          <w:szCs w:val="21"/>
          <w:lang w:val="ru-RU" w:eastAsia="ru-RU" w:bidi="ar-SA"/>
        </w:rPr>
        <w:t xml:space="preserve">Договор </w:t>
      </w:r>
      <w:r>
        <w:rPr>
          <w:b/>
          <w:bCs/>
          <w:color w:val="000000"/>
          <w:spacing w:val="-4"/>
          <w:sz w:val="21"/>
          <w:szCs w:val="21"/>
        </w:rPr>
        <w:t xml:space="preserve">транспортировки  газа № </w:t>
      </w:r>
      <w:r>
        <w:rPr>
          <w:b/>
          <w:bCs/>
          <w:color w:val="000000"/>
          <w:spacing w:val="-7"/>
          <w:sz w:val="21"/>
          <w:szCs w:val="21"/>
        </w:rPr>
        <w:t>2024 – 06 / _____________ (_______)</w:t>
      </w:r>
    </w:p>
    <w:p>
      <w:pPr>
        <w:pStyle w:val="Normal"/>
        <w:shd w:val="clear" w:color="auto" w:fill="FFFFFF"/>
        <w:jc w:val="center"/>
        <w:rPr>
          <w:color w:val="000000"/>
          <w:spacing w:val="-2"/>
          <w:sz w:val="21"/>
          <w:szCs w:val="21"/>
        </w:rPr>
      </w:pPr>
      <w:r>
        <w:rPr>
          <w:color w:val="000000"/>
          <w:spacing w:val="-2"/>
          <w:sz w:val="21"/>
          <w:szCs w:val="21"/>
        </w:rPr>
      </w:r>
    </w:p>
    <w:p>
      <w:pPr>
        <w:pStyle w:val="Normal"/>
        <w:shd w:val="clear" w:color="auto" w:fill="FFFFFF"/>
        <w:tabs>
          <w:tab w:val="clear" w:pos="709"/>
          <w:tab w:val="left" w:pos="1260" w:leader="none"/>
        </w:tabs>
        <w:rPr>
          <w:sz w:val="21"/>
          <w:szCs w:val="21"/>
        </w:rPr>
      </w:pPr>
      <w:r>
        <w:rPr>
          <w:color w:val="000000"/>
          <w:spacing w:val="-2"/>
          <w:sz w:val="21"/>
          <w:szCs w:val="21"/>
        </w:rPr>
        <w:t>г. Омск</w:t>
        <w:tab/>
        <w:t xml:space="preserve">                                                                                                                            «_____»______________2024г.</w:t>
      </w:r>
    </w:p>
    <w:p>
      <w:pPr>
        <w:pStyle w:val="Normal"/>
        <w:shd w:val="clear" w:color="auto" w:fill="FFFFFF"/>
        <w:tabs>
          <w:tab w:val="clear" w:pos="709"/>
          <w:tab w:val="left" w:pos="1260" w:leader="none"/>
        </w:tabs>
        <w:rPr>
          <w:sz w:val="21"/>
          <w:szCs w:val="21"/>
        </w:rPr>
      </w:pPr>
      <w:r>
        <w:rPr>
          <w:color w:val="000000"/>
          <w:spacing w:val="-2"/>
          <w:sz w:val="21"/>
          <w:szCs w:val="21"/>
        </w:rPr>
        <w:tab/>
        <w:t xml:space="preserve"> </w:t>
      </w:r>
    </w:p>
    <w:p>
      <w:pPr>
        <w:pStyle w:val="Normal"/>
        <w:widowControl/>
        <w:shd w:val="clear" w:color="auto" w:fill="FFFFFF"/>
        <w:suppressAutoHyphens w:val="true"/>
        <w:bidi w:val="0"/>
        <w:spacing w:lineRule="auto" w:line="240" w:before="0" w:after="0"/>
        <w:ind w:firstLine="567" w:left="0" w:right="0"/>
        <w:jc w:val="both"/>
        <w:rPr>
          <w:sz w:val="21"/>
          <w:szCs w:val="21"/>
        </w:rPr>
      </w:pPr>
      <w:r>
        <w:rPr>
          <w:b/>
          <w:bCs/>
          <w:color w:val="000000"/>
          <w:spacing w:val="1"/>
          <w:sz w:val="21"/>
          <w:szCs w:val="21"/>
        </w:rPr>
        <w:t>Акционерное общество «Омскгазстройэксплуатация»</w:t>
      </w:r>
      <w:r>
        <w:rPr>
          <w:b w:val="false"/>
          <w:bCs w:val="false"/>
          <w:color w:val="000000"/>
          <w:spacing w:val="1"/>
          <w:sz w:val="21"/>
          <w:szCs w:val="21"/>
        </w:rPr>
        <w:t xml:space="preserve">, именуемое в дальнейшем ГРО, </w:t>
      </w:r>
      <w:r>
        <w:rPr>
          <w:b w:val="false"/>
          <w:bCs w:val="false"/>
          <w:color w:val="000000"/>
          <w:spacing w:val="4"/>
          <w:sz w:val="21"/>
          <w:szCs w:val="21"/>
        </w:rPr>
        <w:t>в лице ___________________________________</w:t>
      </w:r>
      <w:r>
        <w:rPr>
          <w:rFonts w:eastAsia="Times New Roman" w:cs="Times New Roman"/>
          <w:b w:val="false"/>
          <w:bCs w:val="false"/>
          <w:color w:val="000000"/>
          <w:spacing w:val="4"/>
          <w:kern w:val="0"/>
          <w:sz w:val="21"/>
          <w:szCs w:val="21"/>
          <w:lang w:val="ru-RU" w:eastAsia="ru-RU" w:bidi="ar-SA"/>
        </w:rPr>
        <w:t>, действующего на основании ___________</w:t>
      </w:r>
      <w:r>
        <w:rPr>
          <w:b w:val="false"/>
          <w:bCs w:val="false"/>
          <w:color w:val="000000"/>
          <w:spacing w:val="1"/>
          <w:sz w:val="21"/>
          <w:szCs w:val="21"/>
        </w:rPr>
        <w:t xml:space="preserve">, с одной стороны, и </w:t>
      </w:r>
    </w:p>
    <w:p>
      <w:pPr>
        <w:pStyle w:val="Normal"/>
        <w:shd w:val="clear" w:color="auto" w:fill="FFFFFF"/>
        <w:ind w:firstLine="567" w:right="14"/>
        <w:jc w:val="both"/>
        <w:rPr>
          <w:sz w:val="21"/>
          <w:szCs w:val="21"/>
        </w:rPr>
      </w:pPr>
      <w:r>
        <w:rPr>
          <w:b/>
          <w:color w:val="000000"/>
          <w:spacing w:val="2"/>
          <w:sz w:val="21"/>
          <w:szCs w:val="21"/>
        </w:rPr>
        <w:t>Общество с ограниченной ответственностью «__________________________»</w:t>
      </w:r>
      <w:r>
        <w:rPr>
          <w:color w:val="000000"/>
          <w:spacing w:val="2"/>
          <w:sz w:val="21"/>
          <w:szCs w:val="21"/>
        </w:rPr>
        <w:t xml:space="preserve">, именуемое в дальнейшем </w:t>
      </w:r>
      <w:r>
        <w:rPr>
          <w:rFonts w:eastAsia="Times New Roman" w:cs="Times New Roman"/>
          <w:color w:val="000000"/>
          <w:spacing w:val="2"/>
          <w:kern w:val="0"/>
          <w:sz w:val="21"/>
          <w:szCs w:val="21"/>
          <w:lang w:val="ru-RU" w:eastAsia="ru-RU" w:bidi="ar-SA"/>
        </w:rPr>
        <w:t>Потребитель</w:t>
      </w:r>
      <w:r>
        <w:rPr>
          <w:color w:val="000000"/>
          <w:spacing w:val="2"/>
          <w:sz w:val="21"/>
          <w:szCs w:val="21"/>
        </w:rPr>
        <w:t>, в лице ____________________________________,</w:t>
      </w:r>
      <w:r>
        <w:rPr>
          <w:color w:val="000000"/>
          <w:spacing w:val="4"/>
          <w:sz w:val="21"/>
          <w:szCs w:val="21"/>
        </w:rPr>
        <w:t xml:space="preserve"> действующего на основании _____, с другой стороны,</w:t>
      </w:r>
      <w:r>
        <w:rPr>
          <w:color w:val="000000"/>
          <w:spacing w:val="1"/>
          <w:sz w:val="21"/>
          <w:szCs w:val="21"/>
        </w:rPr>
        <w:t xml:space="preserve"> </w:t>
      </w:r>
      <w:r>
        <w:rPr>
          <w:color w:val="000000"/>
          <w:spacing w:val="-3"/>
          <w:sz w:val="21"/>
          <w:szCs w:val="21"/>
        </w:rPr>
        <w:t>именуемые в дальнейшем Стороны, заключили настоящий Договор транспортировки газа (Далее — Договор) о следующем:</w:t>
      </w:r>
    </w:p>
    <w:p>
      <w:pPr>
        <w:pStyle w:val="Normal"/>
        <w:shd w:val="clear" w:color="auto" w:fill="FFFFFF"/>
        <w:ind w:firstLine="567" w:right="14"/>
        <w:jc w:val="center"/>
        <w:rPr>
          <w:sz w:val="21"/>
          <w:szCs w:val="21"/>
        </w:rPr>
      </w:pPr>
      <w:r>
        <w:rPr>
          <w:b/>
          <w:bCs/>
          <w:color w:val="000000"/>
          <w:spacing w:val="-4"/>
          <w:sz w:val="21"/>
          <w:szCs w:val="21"/>
        </w:rPr>
        <w:t>1. Термины и определения.</w:t>
      </w:r>
    </w:p>
    <w:p>
      <w:pPr>
        <w:pStyle w:val="Normal"/>
        <w:shd w:val="clear" w:color="auto" w:fill="FFFFFF"/>
        <w:ind w:firstLine="567" w:right="14"/>
        <w:jc w:val="both"/>
        <w:rPr>
          <w:sz w:val="21"/>
          <w:szCs w:val="21"/>
        </w:rPr>
      </w:pPr>
      <w:r>
        <w:rPr>
          <w:color w:val="000000"/>
          <w:spacing w:val="2"/>
          <w:sz w:val="21"/>
          <w:szCs w:val="21"/>
        </w:rPr>
        <w:t xml:space="preserve">1.1.Термины и определения в Договоре принимаются согласно Правилам поставки газа в Российской Федерации, </w:t>
      </w:r>
      <w:r>
        <w:rPr>
          <w:rFonts w:eastAsia="Times New Roman" w:cs="Times New Roman"/>
          <w:color w:val="000000"/>
          <w:spacing w:val="2"/>
          <w:sz w:val="21"/>
          <w:szCs w:val="21"/>
        </w:rPr>
        <w:t>которые действуют в момент исполнения договорных обязательств</w:t>
      </w:r>
      <w:r>
        <w:rPr>
          <w:color w:val="000000"/>
          <w:spacing w:val="2"/>
          <w:sz w:val="21"/>
          <w:szCs w:val="21"/>
        </w:rPr>
        <w:t>.</w:t>
      </w:r>
    </w:p>
    <w:p>
      <w:pPr>
        <w:pStyle w:val="Normal"/>
        <w:shd w:val="clear" w:color="auto" w:fill="FFFFFF"/>
        <w:ind w:firstLine="567" w:right="14"/>
        <w:jc w:val="center"/>
        <w:rPr>
          <w:sz w:val="21"/>
          <w:szCs w:val="21"/>
        </w:rPr>
      </w:pPr>
      <w:r>
        <w:rPr>
          <w:b/>
          <w:bCs/>
          <w:color w:val="000000"/>
          <w:spacing w:val="-4"/>
          <w:sz w:val="21"/>
          <w:szCs w:val="21"/>
        </w:rPr>
        <w:t>2. Предмет Договора.</w:t>
      </w:r>
    </w:p>
    <w:p>
      <w:pPr>
        <w:pStyle w:val="Normal"/>
        <w:shd w:val="clear" w:color="auto" w:fill="FFFFFF"/>
        <w:ind w:firstLine="567" w:right="14"/>
        <w:jc w:val="both"/>
        <w:rPr>
          <w:sz w:val="21"/>
          <w:szCs w:val="21"/>
        </w:rPr>
      </w:pPr>
      <w:r>
        <w:rPr>
          <w:color w:val="000000"/>
          <w:spacing w:val="-3"/>
          <w:sz w:val="21"/>
          <w:szCs w:val="21"/>
        </w:rPr>
        <w:t xml:space="preserve">2.1. Настоящий Договор заключён на оказание услуг по транспортировке </w:t>
      </w:r>
      <w:r>
        <w:rPr>
          <w:spacing w:val="-3"/>
          <w:sz w:val="21"/>
          <w:szCs w:val="21"/>
        </w:rPr>
        <w:t>газа с 01.01.2024г. по 31.12.2024г.</w:t>
      </w:r>
      <w:r>
        <w:rPr>
          <w:color w:val="000000"/>
          <w:spacing w:val="-3"/>
          <w:sz w:val="21"/>
          <w:szCs w:val="21"/>
        </w:rPr>
        <w:t xml:space="preserve"> по газопроводам, которые находятся в ведении ГРО (далее - сети ГРО).</w:t>
      </w:r>
    </w:p>
    <w:p>
      <w:pPr>
        <w:pStyle w:val="Normal"/>
        <w:shd w:val="clear" w:color="auto" w:fill="FFFFFF"/>
        <w:ind w:firstLine="567" w:right="14"/>
        <w:jc w:val="both"/>
        <w:rPr>
          <w:sz w:val="21"/>
          <w:szCs w:val="21"/>
        </w:rPr>
      </w:pPr>
      <w:r>
        <w:rPr>
          <w:color w:val="000000"/>
          <w:spacing w:val="-3"/>
          <w:sz w:val="21"/>
          <w:szCs w:val="21"/>
        </w:rPr>
        <w:t xml:space="preserve">Объём транспортировки газа по настоящему Договору составляет: </w:t>
      </w:r>
      <w:r>
        <w:rPr>
          <w:rFonts w:eastAsia="Times New Roman" w:cs="Times New Roman"/>
          <w:color w:val="000000"/>
          <w:spacing w:val="-3"/>
          <w:kern w:val="0"/>
          <w:sz w:val="21"/>
          <w:szCs w:val="21"/>
          <w:lang w:val="ru-RU" w:eastAsia="ru-RU" w:bidi="ar-SA"/>
        </w:rPr>
        <w:t>_____</w:t>
      </w:r>
      <w:r>
        <w:rPr>
          <w:spacing w:val="-3"/>
          <w:sz w:val="21"/>
          <w:szCs w:val="21"/>
        </w:rPr>
        <w:t xml:space="preserve"> </w:t>
      </w:r>
      <w:r>
        <w:rPr>
          <w:spacing w:val="-7"/>
          <w:sz w:val="21"/>
          <w:szCs w:val="21"/>
        </w:rPr>
        <w:t>тыс</w:t>
      </w:r>
      <w:r>
        <w:rPr>
          <w:color w:val="000000"/>
          <w:spacing w:val="-7"/>
          <w:sz w:val="21"/>
          <w:szCs w:val="21"/>
        </w:rPr>
        <w:t xml:space="preserve">.м.куб. </w:t>
      </w:r>
    </w:p>
    <w:p>
      <w:pPr>
        <w:pStyle w:val="Normal"/>
        <w:shd w:val="clear" w:color="auto" w:fill="FFFFFF"/>
        <w:ind w:firstLine="567" w:right="14"/>
        <w:rPr>
          <w:sz w:val="21"/>
          <w:szCs w:val="21"/>
        </w:rPr>
      </w:pPr>
      <w:r>
        <w:rPr>
          <w:color w:val="000000"/>
          <w:spacing w:val="-7"/>
          <w:sz w:val="21"/>
          <w:szCs w:val="21"/>
        </w:rPr>
        <w:t>В том числе объекты Потребителя по точкам подключения (</w:t>
      </w:r>
      <w:r>
        <w:rPr>
          <w:bCs/>
          <w:sz w:val="21"/>
          <w:szCs w:val="21"/>
        </w:rPr>
        <w:t>по месяцам и посуточно):</w:t>
      </w:r>
    </w:p>
    <w:tbl>
      <w:tblPr>
        <w:tblW w:w="10530" w:type="dxa"/>
        <w:jc w:val="left"/>
        <w:tblInd w:w="-60" w:type="dxa"/>
        <w:tblLayout w:type="fixed"/>
        <w:tblCellMar>
          <w:top w:w="0" w:type="dxa"/>
          <w:left w:w="2" w:type="dxa"/>
          <w:bottom w:w="0" w:type="dxa"/>
          <w:right w:w="2" w:type="dxa"/>
        </w:tblCellMar>
      </w:tblPr>
      <w:tblGrid>
        <w:gridCol w:w="809"/>
        <w:gridCol w:w="810"/>
        <w:gridCol w:w="811"/>
        <w:gridCol w:w="810"/>
        <w:gridCol w:w="809"/>
        <w:gridCol w:w="810"/>
        <w:gridCol w:w="811"/>
        <w:gridCol w:w="810"/>
        <w:gridCol w:w="809"/>
        <w:gridCol w:w="810"/>
        <w:gridCol w:w="811"/>
        <w:gridCol w:w="813"/>
        <w:gridCol w:w="806"/>
      </w:tblGrid>
      <w:tr>
        <w:trPr/>
        <w:tc>
          <w:tcPr>
            <w:tcW w:w="10529" w:type="dxa"/>
            <w:gridSpan w:val="13"/>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s>
              <w:jc w:val="center"/>
              <w:rPr/>
            </w:pPr>
            <w:r>
              <w:rPr/>
              <w:t>__________________________________________, договорной объем: _______ тыс.м.куб.</w:t>
            </w:r>
          </w:p>
        </w:tc>
      </w:tr>
      <w:tr>
        <w:trPr/>
        <w:tc>
          <w:tcPr>
            <w:tcW w:w="809" w:type="dxa"/>
            <w:tcBorders>
              <w:left w:val="single" w:sz="2" w:space="0" w:color="000000"/>
              <w:bottom w:val="single" w:sz="2" w:space="0" w:color="000000"/>
            </w:tcBorders>
            <w:vAlign w:val="center"/>
          </w:tcPr>
          <w:p>
            <w:pPr>
              <w:pStyle w:val="Normal"/>
              <w:widowControl w:val="false"/>
              <w:tabs>
                <w:tab w:val="clear" w:pos="709"/>
              </w:tabs>
              <w:jc w:val="left"/>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t>Январь</w:t>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t>Февраль</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t>Март</w:t>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t>Апрель</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t>Май</w:t>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t>Июнь</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t>Июль</w:t>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t>Август</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t>Сентябрь</w:t>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t>Октябрь</w:t>
            </w:r>
          </w:p>
        </w:tc>
        <w:tc>
          <w:tcPr>
            <w:tcW w:w="813" w:type="dxa"/>
            <w:tcBorders>
              <w:left w:val="single" w:sz="2" w:space="0" w:color="000000"/>
              <w:bottom w:val="single" w:sz="2" w:space="0" w:color="000000"/>
            </w:tcBorders>
            <w:vAlign w:val="center"/>
          </w:tcPr>
          <w:p>
            <w:pPr>
              <w:pStyle w:val="Normal"/>
              <w:widowControl w:val="false"/>
              <w:tabs>
                <w:tab w:val="clear" w:pos="709"/>
              </w:tabs>
              <w:jc w:val="center"/>
              <w:rPr/>
            </w:pPr>
            <w:r>
              <w:rPr/>
              <w:t>Ноябрь</w:t>
            </w:r>
          </w:p>
        </w:tc>
        <w:tc>
          <w:tcPr>
            <w:tcW w:w="806"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pPr>
            <w:r>
              <w:rPr/>
              <w:t>Декабрь</w:t>
            </w:r>
          </w:p>
        </w:tc>
      </w:tr>
      <w:tr>
        <w:trPr/>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t>месяц</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3"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6"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pPr>
            <w:r>
              <w:rPr/>
            </w:r>
          </w:p>
        </w:tc>
      </w:tr>
      <w:tr>
        <w:trPr/>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t>сутки</w:t>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9"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0"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1"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13" w:type="dxa"/>
            <w:tcBorders>
              <w:left w:val="single" w:sz="2" w:space="0" w:color="000000"/>
              <w:bottom w:val="single" w:sz="2" w:space="0" w:color="000000"/>
            </w:tcBorders>
            <w:vAlign w:val="center"/>
          </w:tcPr>
          <w:p>
            <w:pPr>
              <w:pStyle w:val="Normal"/>
              <w:widowControl w:val="false"/>
              <w:tabs>
                <w:tab w:val="clear" w:pos="709"/>
              </w:tabs>
              <w:jc w:val="center"/>
              <w:rPr/>
            </w:pPr>
            <w:r>
              <w:rPr/>
            </w:r>
          </w:p>
        </w:tc>
        <w:tc>
          <w:tcPr>
            <w:tcW w:w="806"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pPr>
            <w:r>
              <w:rPr/>
            </w:r>
          </w:p>
        </w:tc>
      </w:tr>
    </w:tbl>
    <w:p>
      <w:pPr>
        <w:pStyle w:val="Normal"/>
        <w:shd w:val="clear" w:color="auto" w:fill="FFFFFF"/>
        <w:ind w:firstLine="567" w:right="14"/>
        <w:rPr>
          <w:sz w:val="21"/>
          <w:szCs w:val="21"/>
        </w:rPr>
      </w:pPr>
      <w:r>
        <w:rPr>
          <w:sz w:val="21"/>
          <w:szCs w:val="21"/>
        </w:rPr>
        <w:t>2.2. ГРО передаёт газ Потребителю равномерно в течение месяца в пределах установленной нормы, а в условиях  ограничения по согласованному между Сторонами диспетчерскому графику.</w:t>
      </w:r>
    </w:p>
    <w:p>
      <w:pPr>
        <w:pStyle w:val="Normal"/>
        <w:shd w:val="clear" w:color="000000" w:fill="FFFFFF"/>
        <w:ind w:firstLine="567" w:right="14"/>
        <w:jc w:val="both"/>
        <w:rPr>
          <w:sz w:val="21"/>
          <w:szCs w:val="21"/>
        </w:rPr>
      </w:pPr>
      <w:r>
        <w:rPr>
          <w:color w:val="000000"/>
          <w:spacing w:val="1"/>
          <w:sz w:val="21"/>
          <w:szCs w:val="21"/>
        </w:rPr>
        <w:t xml:space="preserve">2.3. </w:t>
      </w:r>
      <w:r>
        <w:rPr>
          <w:sz w:val="21"/>
          <w:szCs w:val="21"/>
        </w:rPr>
        <w:t>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w:t>
      </w:r>
    </w:p>
    <w:p>
      <w:pPr>
        <w:pStyle w:val="Normal"/>
        <w:shd w:val="clear" w:color="000000" w:fill="FFFFFF"/>
        <w:ind w:firstLine="567" w:right="14"/>
        <w:jc w:val="both"/>
        <w:rPr>
          <w:sz w:val="21"/>
          <w:szCs w:val="21"/>
        </w:rPr>
      </w:pPr>
      <w:r>
        <w:rPr>
          <w:sz w:val="21"/>
          <w:szCs w:val="21"/>
        </w:rPr>
        <w:t xml:space="preserve">— </w:t>
      </w:r>
      <w:r>
        <w:rPr>
          <w:sz w:val="21"/>
          <w:szCs w:val="21"/>
        </w:rPr>
        <w:t>наличия технической возможности ГРО;</w:t>
      </w:r>
    </w:p>
    <w:p>
      <w:pPr>
        <w:pStyle w:val="Normal"/>
        <w:shd w:val="clear" w:color="000000" w:fill="FFFFFF"/>
        <w:ind w:firstLine="567" w:right="14"/>
        <w:jc w:val="both"/>
        <w:rPr>
          <w:sz w:val="21"/>
          <w:szCs w:val="21"/>
        </w:rPr>
      </w:pPr>
      <w:r>
        <w:rPr>
          <w:sz w:val="21"/>
          <w:szCs w:val="21"/>
        </w:rPr>
        <w:t xml:space="preserve">— </w:t>
      </w:r>
      <w:r>
        <w:rPr>
          <w:sz w:val="21"/>
          <w:szCs w:val="21"/>
        </w:rPr>
        <w:t>подтверждение  выделенного дополнительного объема Поставщиком;</w:t>
      </w:r>
    </w:p>
    <w:p>
      <w:pPr>
        <w:pStyle w:val="Normal"/>
        <w:shd w:val="clear" w:color="000000" w:fill="FFFFFF"/>
        <w:ind w:firstLine="567" w:right="14"/>
        <w:jc w:val="both"/>
        <w:rPr>
          <w:sz w:val="21"/>
          <w:szCs w:val="21"/>
        </w:rPr>
      </w:pPr>
      <w:r>
        <w:rPr>
          <w:sz w:val="21"/>
          <w:szCs w:val="21"/>
        </w:rPr>
        <w:t xml:space="preserve">— </w:t>
      </w:r>
      <w:r>
        <w:rPr>
          <w:sz w:val="21"/>
          <w:szCs w:val="21"/>
        </w:rPr>
        <w:t>отсутствия задолженности Потребителя по оплате за транспортировку газа ГРО.</w:t>
      </w:r>
    </w:p>
    <w:p>
      <w:pPr>
        <w:pStyle w:val="Normal"/>
        <w:shd w:val="clear" w:color="auto" w:fill="FFFFFF"/>
        <w:ind w:firstLine="567" w:right="14"/>
        <w:jc w:val="both"/>
        <w:rPr>
          <w:sz w:val="21"/>
          <w:szCs w:val="21"/>
        </w:rPr>
      </w:pPr>
      <w:r>
        <w:rPr>
          <w:sz w:val="21"/>
          <w:szCs w:val="21"/>
        </w:rPr>
        <w:t>Заявка на изменение месячных объёмов транспортировки газа направляется Потребителем не позднее 20 числа месяца, предшествующего месяцу транспортировки газа в котором будут произведены изменения, при этом изменения месячных объемов транспортировки газа по инициативе Потребителя допускается не более 1 раза в месяц.</w:t>
      </w:r>
    </w:p>
    <w:p>
      <w:pPr>
        <w:pStyle w:val="Normal"/>
        <w:shd w:val="clear" w:color="auto" w:fill="FFFFFF"/>
        <w:ind w:hanging="0" w:right="14"/>
        <w:jc w:val="center"/>
        <w:rPr>
          <w:sz w:val="21"/>
          <w:szCs w:val="21"/>
        </w:rPr>
      </w:pPr>
      <w:r>
        <w:rPr>
          <w:b/>
          <w:bCs/>
          <w:color w:val="000000"/>
          <w:spacing w:val="-3"/>
          <w:sz w:val="21"/>
          <w:szCs w:val="21"/>
        </w:rPr>
        <w:t>3. Тариф и порядок расчетов за транспортировку газа.</w:t>
      </w:r>
    </w:p>
    <w:p>
      <w:pPr>
        <w:pStyle w:val="Normal"/>
        <w:shd w:val="clear" w:color="auto" w:fill="FFFFFF"/>
        <w:tabs>
          <w:tab w:val="clear" w:pos="709"/>
          <w:tab w:val="left" w:pos="0" w:leader="none"/>
        </w:tabs>
        <w:ind w:firstLine="567" w:right="14"/>
        <w:jc w:val="both"/>
        <w:rPr>
          <w:sz w:val="21"/>
          <w:szCs w:val="21"/>
        </w:rPr>
      </w:pPr>
      <w:r>
        <w:rPr>
          <w:color w:val="000000"/>
          <w:spacing w:val="3"/>
          <w:sz w:val="21"/>
          <w:szCs w:val="21"/>
        </w:rPr>
        <w:t>3.1</w:t>
      </w:r>
      <w:r>
        <w:rPr>
          <w:spacing w:val="3"/>
          <w:sz w:val="21"/>
          <w:szCs w:val="21"/>
        </w:rPr>
        <w:t xml:space="preserve">. Оплата услуг по транспортировке газа осуществляется Потребителем по тарифам, утвержденным для ГРО компетентным органом. </w:t>
      </w:r>
    </w:p>
    <w:p>
      <w:pPr>
        <w:pStyle w:val="Normal"/>
        <w:shd w:val="clear" w:color="auto" w:fill="FFFFFF"/>
        <w:tabs>
          <w:tab w:val="clear" w:pos="709"/>
          <w:tab w:val="left" w:pos="0" w:leader="none"/>
        </w:tabs>
        <w:ind w:firstLine="567" w:right="14"/>
        <w:jc w:val="both"/>
        <w:rPr>
          <w:sz w:val="21"/>
          <w:szCs w:val="21"/>
        </w:rPr>
      </w:pPr>
      <w:r>
        <w:rPr>
          <w:spacing w:val="3"/>
          <w:sz w:val="21"/>
          <w:szCs w:val="21"/>
        </w:rPr>
        <w:t xml:space="preserve">Тарифы на услуги по транспортировке газа по газораспределительным сетям ГРО </w:t>
      </w:r>
      <w:r>
        <w:rPr>
          <w:sz w:val="21"/>
          <w:szCs w:val="21"/>
        </w:rPr>
        <w:t>по группам потребителей с объёмом потребления газа (млн.куб.м./год),</w:t>
      </w:r>
      <w:r>
        <w:rPr>
          <w:spacing w:val="3"/>
          <w:sz w:val="21"/>
          <w:szCs w:val="21"/>
        </w:rPr>
        <w:t xml:space="preserve"> утверждены Приказом Федеральной антимонопольной службы </w:t>
      </w:r>
      <w:r>
        <w:rPr>
          <w:color w:val="000000"/>
          <w:sz w:val="21"/>
          <w:szCs w:val="21"/>
        </w:rPr>
        <w:t xml:space="preserve">№ 828/22 от 16.11.2022г. </w:t>
      </w:r>
      <w:r>
        <w:rPr>
          <w:color w:val="000000"/>
          <w:spacing w:val="3"/>
          <w:sz w:val="21"/>
          <w:szCs w:val="21"/>
        </w:rPr>
        <w:t>(зарегистрирован в Министерстве юстиции РФ 30.11.2022г. №71280)</w:t>
      </w:r>
      <w:r>
        <w:rPr>
          <w:spacing w:val="3"/>
          <w:sz w:val="21"/>
          <w:szCs w:val="21"/>
        </w:rPr>
        <w:t xml:space="preserve"> и составляет (</w:t>
      </w:r>
      <w:r>
        <w:rPr>
          <w:spacing w:val="3"/>
          <w:sz w:val="20"/>
          <w:szCs w:val="20"/>
        </w:rPr>
        <w:t xml:space="preserve">руб./1000 куб.м. </w:t>
      </w:r>
      <w:r>
        <w:rPr>
          <w:spacing w:val="3"/>
          <w:sz w:val="21"/>
          <w:szCs w:val="21"/>
        </w:rPr>
        <w:t>без НДС):</w:t>
      </w:r>
    </w:p>
    <w:tbl>
      <w:tblPr>
        <w:tblW w:w="10479" w:type="dxa"/>
        <w:jc w:val="left"/>
        <w:tblInd w:w="19" w:type="dxa"/>
        <w:tblLayout w:type="fixed"/>
        <w:tblCellMar>
          <w:top w:w="0" w:type="dxa"/>
          <w:left w:w="5" w:type="dxa"/>
          <w:bottom w:w="0" w:type="dxa"/>
          <w:right w:w="0" w:type="dxa"/>
        </w:tblCellMar>
        <w:tblLook w:firstRow="1" w:noVBand="1" w:lastRow="0" w:firstColumn="1" w:lastColumn="0" w:noHBand="0" w:val="04a0"/>
      </w:tblPr>
      <w:tblGrid>
        <w:gridCol w:w="2967"/>
        <w:gridCol w:w="1532"/>
        <w:gridCol w:w="1415"/>
        <w:gridCol w:w="1585"/>
        <w:gridCol w:w="1480"/>
        <w:gridCol w:w="1499"/>
      </w:tblGrid>
      <w:tr>
        <w:trPr/>
        <w:tc>
          <w:tcPr>
            <w:tcW w:w="2967" w:type="dxa"/>
            <w:tcBorders>
              <w:top w:val="single" w:sz="4" w:space="0" w:color="00000A"/>
              <w:left w:val="single" w:sz="4" w:space="0" w:color="00000A"/>
              <w:bottom w:val="single" w:sz="4" w:space="0" w:color="00000A"/>
            </w:tcBorders>
            <w:shd w:color="auto" w:fill="FFFFFF" w:val="clear"/>
            <w:vAlign w:val="bottom"/>
          </w:tcPr>
          <w:p>
            <w:pPr>
              <w:pStyle w:val="Style19"/>
              <w:widowControl w:val="false"/>
              <w:ind w:hanging="0" w:left="-108" w:right="-121"/>
              <w:jc w:val="center"/>
              <w:rPr>
                <w:rFonts w:ascii="Times New Roman" w:hAnsi="Times New Roman"/>
                <w:sz w:val="20"/>
                <w:szCs w:val="20"/>
              </w:rPr>
            </w:pPr>
            <w:r>
              <w:rPr>
                <w:rFonts w:cs="Arial"/>
                <w:sz w:val="20"/>
                <w:szCs w:val="20"/>
              </w:rPr>
              <w:t>Группа потребителей</w:t>
            </w:r>
          </w:p>
        </w:tc>
        <w:tc>
          <w:tcPr>
            <w:tcW w:w="1532"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3</w:t>
            </w:r>
          </w:p>
        </w:tc>
        <w:tc>
          <w:tcPr>
            <w:tcW w:w="1415"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4</w:t>
            </w:r>
          </w:p>
        </w:tc>
        <w:tc>
          <w:tcPr>
            <w:tcW w:w="1585"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5</w:t>
            </w:r>
          </w:p>
        </w:tc>
        <w:tc>
          <w:tcPr>
            <w:tcW w:w="1480"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6</w:t>
            </w:r>
          </w:p>
        </w:tc>
        <w:tc>
          <w:tcPr>
            <w:tcW w:w="149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7</w:t>
            </w:r>
          </w:p>
        </w:tc>
      </w:tr>
      <w:tr>
        <w:trPr/>
        <w:tc>
          <w:tcPr>
            <w:tcW w:w="2967"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3" w:right="-121"/>
              <w:jc w:val="center"/>
              <w:rPr>
                <w:rFonts w:ascii="Times New Roman" w:hAnsi="Times New Roman" w:cs="Arial"/>
                <w:sz w:val="20"/>
                <w:szCs w:val="20"/>
              </w:rPr>
            </w:pPr>
            <w:r>
              <w:rPr>
                <w:rFonts w:cs="Arial"/>
                <w:sz w:val="20"/>
                <w:szCs w:val="20"/>
              </w:rPr>
              <w:t>Годовой объём</w:t>
            </w:r>
          </w:p>
          <w:p>
            <w:pPr>
              <w:pStyle w:val="Normal"/>
              <w:widowControl w:val="false"/>
              <w:ind w:hanging="0" w:left="-103" w:right="-121"/>
              <w:jc w:val="center"/>
              <w:rPr>
                <w:rFonts w:ascii="Times New Roman" w:hAnsi="Times New Roman" w:cs="Arial"/>
                <w:sz w:val="20"/>
                <w:szCs w:val="20"/>
              </w:rPr>
            </w:pPr>
            <w:r>
              <w:rPr>
                <w:rFonts w:cs="Arial"/>
                <w:sz w:val="20"/>
                <w:szCs w:val="20"/>
              </w:rPr>
              <w:t>(млн.куб.м./год)</w:t>
            </w:r>
          </w:p>
        </w:tc>
        <w:tc>
          <w:tcPr>
            <w:tcW w:w="1532"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от 10 до 100 включительно</w:t>
            </w:r>
          </w:p>
        </w:tc>
        <w:tc>
          <w:tcPr>
            <w:tcW w:w="1415" w:type="dxa"/>
            <w:tcBorders>
              <w:top w:val="single" w:sz="4" w:space="0" w:color="00000A"/>
              <w:left w:val="single" w:sz="4" w:space="0" w:color="00000A"/>
              <w:bottom w:val="single" w:sz="4" w:space="0" w:color="00000A"/>
            </w:tcBorders>
            <w:shd w:color="auto" w:fill="FFFFFF" w:val="clear"/>
            <w:vAlign w:val="center"/>
          </w:tcPr>
          <w:p>
            <w:pPr>
              <w:pStyle w:val="Normal"/>
              <w:widowControl w:val="false"/>
              <w:jc w:val="center"/>
              <w:rPr>
                <w:rFonts w:ascii="Times New Roman" w:hAnsi="Times New Roman" w:cs="Arial"/>
                <w:sz w:val="20"/>
                <w:szCs w:val="20"/>
              </w:rPr>
            </w:pPr>
            <w:r>
              <w:rPr>
                <w:rFonts w:cs="Arial"/>
                <w:sz w:val="20"/>
                <w:szCs w:val="20"/>
              </w:rPr>
              <w:t>от 1 до 10 включительно</w:t>
            </w:r>
          </w:p>
        </w:tc>
        <w:tc>
          <w:tcPr>
            <w:tcW w:w="1585"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от 0,1 до 1 включительно</w:t>
            </w:r>
          </w:p>
        </w:tc>
        <w:tc>
          <w:tcPr>
            <w:tcW w:w="1480"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от 0,01 до 0,1 включительно</w:t>
            </w:r>
          </w:p>
        </w:tc>
        <w:tc>
          <w:tcPr>
            <w:tcW w:w="149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ind w:hanging="0" w:left="-108" w:right="-121"/>
              <w:jc w:val="center"/>
              <w:rPr>
                <w:rFonts w:ascii="Times New Roman" w:hAnsi="Times New Roman" w:cs="Arial"/>
                <w:sz w:val="20"/>
                <w:szCs w:val="20"/>
              </w:rPr>
            </w:pPr>
            <w:r>
              <w:rPr>
                <w:rFonts w:cs="Arial"/>
                <w:sz w:val="20"/>
                <w:szCs w:val="20"/>
              </w:rPr>
              <w:t>до 0,01 включительно</w:t>
            </w:r>
          </w:p>
        </w:tc>
      </w:tr>
      <w:tr>
        <w:trPr/>
        <w:tc>
          <w:tcPr>
            <w:tcW w:w="2967" w:type="dxa"/>
            <w:tcBorders>
              <w:top w:val="single" w:sz="4" w:space="0" w:color="00000A"/>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Тариф с 01.01.2024г.</w:t>
            </w:r>
          </w:p>
        </w:tc>
        <w:tc>
          <w:tcPr>
            <w:tcW w:w="1532" w:type="dxa"/>
            <w:tcBorders>
              <w:top w:val="single" w:sz="4" w:space="0" w:color="00000A"/>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730,42</w:t>
            </w:r>
          </w:p>
        </w:tc>
        <w:tc>
          <w:tcPr>
            <w:tcW w:w="1415" w:type="dxa"/>
            <w:tcBorders>
              <w:top w:val="single" w:sz="4" w:space="0" w:color="00000A"/>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1022,60</w:t>
            </w:r>
          </w:p>
        </w:tc>
        <w:tc>
          <w:tcPr>
            <w:tcW w:w="1585" w:type="dxa"/>
            <w:tcBorders>
              <w:top w:val="single" w:sz="4" w:space="0" w:color="00000A"/>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1214,34</w:t>
            </w:r>
          </w:p>
        </w:tc>
        <w:tc>
          <w:tcPr>
            <w:tcW w:w="1480" w:type="dxa"/>
            <w:tcBorders>
              <w:top w:val="single" w:sz="4" w:space="0" w:color="00000A"/>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1415,20</w:t>
            </w:r>
          </w:p>
        </w:tc>
        <w:tc>
          <w:tcPr>
            <w:tcW w:w="149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1606,94</w:t>
            </w:r>
          </w:p>
        </w:tc>
      </w:tr>
      <w:tr>
        <w:trPr/>
        <w:tc>
          <w:tcPr>
            <w:tcW w:w="2967" w:type="dxa"/>
            <w:tcBorders>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Тариф с 01.07.2024г.</w:t>
            </w:r>
          </w:p>
        </w:tc>
        <w:tc>
          <w:tcPr>
            <w:tcW w:w="1532" w:type="dxa"/>
            <w:tcBorders>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781,55</w:t>
            </w:r>
          </w:p>
        </w:tc>
        <w:tc>
          <w:tcPr>
            <w:tcW w:w="1415" w:type="dxa"/>
            <w:tcBorders>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1094,18</w:t>
            </w:r>
          </w:p>
        </w:tc>
        <w:tc>
          <w:tcPr>
            <w:tcW w:w="1585" w:type="dxa"/>
            <w:tcBorders>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1299,34</w:t>
            </w:r>
          </w:p>
        </w:tc>
        <w:tc>
          <w:tcPr>
            <w:tcW w:w="1480" w:type="dxa"/>
            <w:tcBorders>
              <w:left w:val="single" w:sz="4" w:space="0" w:color="00000A"/>
              <w:bottom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1514,26</w:t>
            </w:r>
          </w:p>
        </w:tc>
        <w:tc>
          <w:tcPr>
            <w:tcW w:w="1499" w:type="dxa"/>
            <w:tcBorders>
              <w:left w:val="single" w:sz="4" w:space="0" w:color="00000A"/>
              <w:bottom w:val="single" w:sz="4" w:space="0" w:color="00000A"/>
              <w:right w:val="single" w:sz="4" w:space="0" w:color="00000A"/>
            </w:tcBorders>
            <w:shd w:color="auto" w:fill="FFFFFF" w:val="clear"/>
            <w:vAlign w:val="bottom"/>
          </w:tcPr>
          <w:p>
            <w:pPr>
              <w:pStyle w:val="Normal"/>
              <w:widowControl w:val="false"/>
              <w:ind w:hanging="0" w:left="-108" w:right="-121"/>
              <w:jc w:val="center"/>
              <w:rPr>
                <w:rFonts w:ascii="Times New Roman" w:hAnsi="Times New Roman"/>
                <w:sz w:val="20"/>
                <w:szCs w:val="20"/>
              </w:rPr>
            </w:pPr>
            <w:r>
              <w:rPr>
                <w:sz w:val="20"/>
                <w:szCs w:val="20"/>
              </w:rPr>
              <w:t>1719,43</w:t>
            </w:r>
          </w:p>
        </w:tc>
      </w:tr>
    </w:tbl>
    <w:p>
      <w:pPr>
        <w:pStyle w:val="Normal"/>
        <w:widowControl w:val="false"/>
        <w:shd w:val="clear" w:color="auto" w:fill="FFFFFF"/>
        <w:tabs>
          <w:tab w:val="clear" w:pos="709"/>
          <w:tab w:val="left" w:pos="0" w:leader="none"/>
        </w:tabs>
        <w:ind w:hanging="0" w:right="14"/>
        <w:jc w:val="both"/>
        <w:rPr>
          <w:sz w:val="22"/>
          <w:szCs w:val="22"/>
        </w:rPr>
      </w:pPr>
      <w:r>
        <w:rPr>
          <w:color w:val="000000"/>
          <w:spacing w:val="1"/>
          <w:sz w:val="22"/>
          <w:szCs w:val="22"/>
        </w:rPr>
        <w:t xml:space="preserve">        </w:t>
      </w:r>
      <w:r>
        <w:rPr>
          <w:color w:val="000000"/>
          <w:spacing w:val="1"/>
          <w:sz w:val="22"/>
          <w:szCs w:val="22"/>
        </w:rPr>
        <w:t xml:space="preserve">Специальные надбавки к тарифам на транспортировку газа ГРО по группам потребителей с объёмом потребления газа (млн.куб.м./год), утверждены Приказом РЭК Омской области от 26.12.2023г. № 558/88 и составляют </w:t>
      </w:r>
      <w:r>
        <w:rPr>
          <w:color w:val="000000"/>
          <w:spacing w:val="3"/>
          <w:sz w:val="22"/>
          <w:szCs w:val="22"/>
        </w:rPr>
        <w:t>(руб./1000 куб.м. без НДС)</w:t>
      </w:r>
      <w:r>
        <w:rPr>
          <w:color w:val="000000"/>
          <w:spacing w:val="1"/>
          <w:sz w:val="22"/>
          <w:szCs w:val="22"/>
        </w:rPr>
        <w:t>:</w:t>
      </w:r>
    </w:p>
    <w:tbl>
      <w:tblPr>
        <w:tblW w:w="10565" w:type="dxa"/>
        <w:jc w:val="left"/>
        <w:tblInd w:w="-147" w:type="dxa"/>
        <w:tblLayout w:type="fixed"/>
        <w:tblCellMar>
          <w:top w:w="0" w:type="dxa"/>
          <w:left w:w="5" w:type="dxa"/>
          <w:bottom w:w="0" w:type="dxa"/>
          <w:right w:w="0" w:type="dxa"/>
        </w:tblCellMar>
      </w:tblPr>
      <w:tblGrid>
        <w:gridCol w:w="3062"/>
        <w:gridCol w:w="1533"/>
        <w:gridCol w:w="1416"/>
        <w:gridCol w:w="1585"/>
        <w:gridCol w:w="1480"/>
        <w:gridCol w:w="1488"/>
      </w:tblGrid>
      <w:tr>
        <w:trPr/>
        <w:tc>
          <w:tcPr>
            <w:tcW w:w="3062" w:type="dxa"/>
            <w:tcBorders>
              <w:top w:val="single" w:sz="4" w:space="0" w:color="000000"/>
              <w:left w:val="single" w:sz="4" w:space="0" w:color="000000"/>
              <w:bottom w:val="single" w:sz="4" w:space="0" w:color="000000"/>
            </w:tcBorders>
          </w:tcPr>
          <w:p>
            <w:pPr>
              <w:pStyle w:val="Style19"/>
              <w:widowControl w:val="false"/>
              <w:jc w:val="center"/>
              <w:rPr/>
            </w:pPr>
            <w:r>
              <w:rPr/>
              <w:t>Группа потребителей</w:t>
            </w:r>
          </w:p>
        </w:tc>
        <w:tc>
          <w:tcPr>
            <w:tcW w:w="1533" w:type="dxa"/>
            <w:tcBorders>
              <w:top w:val="single" w:sz="4" w:space="0" w:color="000000"/>
              <w:left w:val="single" w:sz="4" w:space="0" w:color="000000"/>
              <w:bottom w:val="single" w:sz="4" w:space="0" w:color="000000"/>
            </w:tcBorders>
          </w:tcPr>
          <w:p>
            <w:pPr>
              <w:pStyle w:val="Style19"/>
              <w:widowControl w:val="false"/>
              <w:jc w:val="center"/>
              <w:rPr/>
            </w:pPr>
            <w:r>
              <w:rPr/>
              <w:t>3</w:t>
            </w:r>
          </w:p>
        </w:tc>
        <w:tc>
          <w:tcPr>
            <w:tcW w:w="1416" w:type="dxa"/>
            <w:tcBorders>
              <w:top w:val="single" w:sz="4" w:space="0" w:color="000000"/>
              <w:left w:val="single" w:sz="4" w:space="0" w:color="000000"/>
              <w:bottom w:val="single" w:sz="4" w:space="0" w:color="000000"/>
            </w:tcBorders>
          </w:tcPr>
          <w:p>
            <w:pPr>
              <w:pStyle w:val="Style19"/>
              <w:widowControl w:val="false"/>
              <w:jc w:val="center"/>
              <w:rPr/>
            </w:pPr>
            <w:r>
              <w:rPr/>
              <w:t>4</w:t>
            </w:r>
          </w:p>
        </w:tc>
        <w:tc>
          <w:tcPr>
            <w:tcW w:w="1585" w:type="dxa"/>
            <w:tcBorders>
              <w:top w:val="single" w:sz="4" w:space="0" w:color="000000"/>
              <w:left w:val="single" w:sz="4" w:space="0" w:color="000000"/>
              <w:bottom w:val="single" w:sz="4" w:space="0" w:color="000000"/>
            </w:tcBorders>
          </w:tcPr>
          <w:p>
            <w:pPr>
              <w:pStyle w:val="Style19"/>
              <w:widowControl w:val="false"/>
              <w:jc w:val="center"/>
              <w:rPr/>
            </w:pPr>
            <w:r>
              <w:rPr/>
              <w:t>5</w:t>
            </w:r>
          </w:p>
        </w:tc>
        <w:tc>
          <w:tcPr>
            <w:tcW w:w="1480" w:type="dxa"/>
            <w:tcBorders>
              <w:top w:val="single" w:sz="4" w:space="0" w:color="000000"/>
              <w:left w:val="single" w:sz="4" w:space="0" w:color="000000"/>
              <w:bottom w:val="single" w:sz="4" w:space="0" w:color="000000"/>
            </w:tcBorders>
          </w:tcPr>
          <w:p>
            <w:pPr>
              <w:pStyle w:val="Style19"/>
              <w:widowControl w:val="false"/>
              <w:jc w:val="center"/>
              <w:rPr/>
            </w:pPr>
            <w:r>
              <w:rPr/>
              <w:t>6</w:t>
            </w:r>
          </w:p>
        </w:tc>
        <w:tc>
          <w:tcPr>
            <w:tcW w:w="1488" w:type="dxa"/>
            <w:tcBorders>
              <w:top w:val="single" w:sz="4" w:space="0" w:color="000000"/>
              <w:left w:val="single" w:sz="4" w:space="0" w:color="000000"/>
              <w:bottom w:val="single" w:sz="4" w:space="0" w:color="000000"/>
              <w:right w:val="single" w:sz="4" w:space="0" w:color="000000"/>
            </w:tcBorders>
          </w:tcPr>
          <w:p>
            <w:pPr>
              <w:pStyle w:val="Style19"/>
              <w:widowControl w:val="false"/>
              <w:jc w:val="center"/>
              <w:rPr/>
            </w:pPr>
            <w:r>
              <w:rPr/>
              <w:t>7</w:t>
            </w:r>
          </w:p>
        </w:tc>
      </w:tr>
      <w:tr>
        <w:trPr/>
        <w:tc>
          <w:tcPr>
            <w:tcW w:w="3062" w:type="dxa"/>
            <w:tcBorders>
              <w:left w:val="single" w:sz="4" w:space="0" w:color="000000"/>
              <w:bottom w:val="single" w:sz="4" w:space="0" w:color="000000"/>
            </w:tcBorders>
          </w:tcPr>
          <w:p>
            <w:pPr>
              <w:pStyle w:val="Style19"/>
              <w:widowControl w:val="false"/>
              <w:jc w:val="center"/>
              <w:rPr/>
            </w:pPr>
            <w:r>
              <w:rPr/>
              <w:t>Годовой объём</w:t>
            </w:r>
          </w:p>
          <w:p>
            <w:pPr>
              <w:pStyle w:val="Style19"/>
              <w:widowControl w:val="false"/>
              <w:jc w:val="center"/>
              <w:rPr/>
            </w:pPr>
            <w:r>
              <w:rPr/>
              <w:t>(млн.куб.м./год)</w:t>
            </w:r>
          </w:p>
        </w:tc>
        <w:tc>
          <w:tcPr>
            <w:tcW w:w="1533" w:type="dxa"/>
            <w:tcBorders>
              <w:left w:val="single" w:sz="4" w:space="0" w:color="000000"/>
              <w:bottom w:val="single" w:sz="4" w:space="0" w:color="000000"/>
            </w:tcBorders>
          </w:tcPr>
          <w:p>
            <w:pPr>
              <w:pStyle w:val="Style19"/>
              <w:widowControl w:val="false"/>
              <w:jc w:val="center"/>
              <w:rPr/>
            </w:pPr>
            <w:r>
              <w:rPr/>
              <w:t>от 10 до 100</w:t>
            </w:r>
          </w:p>
          <w:p>
            <w:pPr>
              <w:pStyle w:val="Style19"/>
              <w:widowControl w:val="false"/>
              <w:jc w:val="center"/>
              <w:rPr/>
            </w:pPr>
            <w:r>
              <w:rPr/>
              <w:t>включительно</w:t>
            </w:r>
          </w:p>
        </w:tc>
        <w:tc>
          <w:tcPr>
            <w:tcW w:w="1416" w:type="dxa"/>
            <w:tcBorders>
              <w:left w:val="single" w:sz="4" w:space="0" w:color="000000"/>
              <w:bottom w:val="single" w:sz="4" w:space="0" w:color="000000"/>
            </w:tcBorders>
          </w:tcPr>
          <w:p>
            <w:pPr>
              <w:pStyle w:val="Style19"/>
              <w:widowControl w:val="false"/>
              <w:jc w:val="center"/>
              <w:rPr/>
            </w:pPr>
            <w:r>
              <w:rPr/>
              <w:t>от 1 до 10</w:t>
            </w:r>
          </w:p>
          <w:p>
            <w:pPr>
              <w:pStyle w:val="Style19"/>
              <w:widowControl w:val="false"/>
              <w:jc w:val="center"/>
              <w:rPr/>
            </w:pPr>
            <w:r>
              <w:rPr/>
              <w:t>включительно</w:t>
            </w:r>
          </w:p>
        </w:tc>
        <w:tc>
          <w:tcPr>
            <w:tcW w:w="1585" w:type="dxa"/>
            <w:tcBorders>
              <w:left w:val="single" w:sz="4" w:space="0" w:color="000000"/>
              <w:bottom w:val="single" w:sz="4" w:space="0" w:color="000000"/>
            </w:tcBorders>
          </w:tcPr>
          <w:p>
            <w:pPr>
              <w:pStyle w:val="Style19"/>
              <w:widowControl w:val="false"/>
              <w:jc w:val="center"/>
              <w:rPr/>
            </w:pPr>
            <w:r>
              <w:rPr/>
              <w:t>от 0,1 до 1</w:t>
            </w:r>
          </w:p>
          <w:p>
            <w:pPr>
              <w:pStyle w:val="Style19"/>
              <w:widowControl w:val="false"/>
              <w:jc w:val="center"/>
              <w:rPr/>
            </w:pPr>
            <w:r>
              <w:rPr/>
              <w:t>включительно</w:t>
            </w:r>
          </w:p>
        </w:tc>
        <w:tc>
          <w:tcPr>
            <w:tcW w:w="1480" w:type="dxa"/>
            <w:tcBorders>
              <w:left w:val="single" w:sz="4" w:space="0" w:color="000000"/>
              <w:bottom w:val="single" w:sz="4" w:space="0" w:color="000000"/>
            </w:tcBorders>
          </w:tcPr>
          <w:p>
            <w:pPr>
              <w:pStyle w:val="Style19"/>
              <w:widowControl w:val="false"/>
              <w:jc w:val="center"/>
              <w:rPr/>
            </w:pPr>
            <w:r>
              <w:rPr/>
              <w:t>от 0,01 до 0,1</w:t>
            </w:r>
          </w:p>
          <w:p>
            <w:pPr>
              <w:pStyle w:val="Style19"/>
              <w:widowControl w:val="false"/>
              <w:jc w:val="center"/>
              <w:rPr/>
            </w:pPr>
            <w:r>
              <w:rPr/>
              <w:t>включительно</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до 0,01</w:t>
            </w:r>
          </w:p>
          <w:p>
            <w:pPr>
              <w:pStyle w:val="Style19"/>
              <w:widowControl w:val="false"/>
              <w:jc w:val="center"/>
              <w:rPr/>
            </w:pPr>
            <w:r>
              <w:rPr/>
              <w:t>включительно</w:t>
            </w:r>
          </w:p>
        </w:tc>
      </w:tr>
      <w:tr>
        <w:trPr/>
        <w:tc>
          <w:tcPr>
            <w:tcW w:w="3062" w:type="dxa"/>
            <w:tcBorders>
              <w:left w:val="single" w:sz="4" w:space="0" w:color="000000"/>
              <w:bottom w:val="single" w:sz="4" w:space="0" w:color="000000"/>
            </w:tcBorders>
          </w:tcPr>
          <w:p>
            <w:pPr>
              <w:pStyle w:val="Style19"/>
              <w:widowControl w:val="false"/>
              <w:jc w:val="center"/>
              <w:rPr/>
            </w:pPr>
            <w:r>
              <w:rPr/>
              <w:t>Специальные надбавки с 1 января по 30 июня 2024 года</w:t>
            </w:r>
          </w:p>
        </w:tc>
        <w:tc>
          <w:tcPr>
            <w:tcW w:w="1533" w:type="dxa"/>
            <w:tcBorders>
              <w:left w:val="single" w:sz="4" w:space="0" w:color="000000"/>
              <w:bottom w:val="single" w:sz="4" w:space="0" w:color="000000"/>
            </w:tcBorders>
          </w:tcPr>
          <w:p>
            <w:pPr>
              <w:pStyle w:val="Style19"/>
              <w:widowControl w:val="false"/>
              <w:jc w:val="center"/>
              <w:rPr/>
            </w:pPr>
            <w:r>
              <w:rPr/>
              <w:t>190,85</w:t>
            </w:r>
          </w:p>
        </w:tc>
        <w:tc>
          <w:tcPr>
            <w:tcW w:w="1416" w:type="dxa"/>
            <w:tcBorders>
              <w:left w:val="single" w:sz="4" w:space="0" w:color="000000"/>
              <w:bottom w:val="single" w:sz="4" w:space="0" w:color="000000"/>
            </w:tcBorders>
          </w:tcPr>
          <w:p>
            <w:pPr>
              <w:pStyle w:val="Style19"/>
              <w:widowControl w:val="false"/>
              <w:jc w:val="center"/>
              <w:rPr/>
            </w:pPr>
            <w:r>
              <w:rPr/>
              <w:t>267,19</w:t>
            </w:r>
          </w:p>
        </w:tc>
        <w:tc>
          <w:tcPr>
            <w:tcW w:w="1585" w:type="dxa"/>
            <w:tcBorders>
              <w:left w:val="single" w:sz="4" w:space="0" w:color="000000"/>
              <w:bottom w:val="single" w:sz="4" w:space="0" w:color="000000"/>
            </w:tcBorders>
          </w:tcPr>
          <w:p>
            <w:pPr>
              <w:pStyle w:val="Style19"/>
              <w:widowControl w:val="false"/>
              <w:jc w:val="center"/>
              <w:rPr/>
            </w:pPr>
            <w:r>
              <w:rPr/>
              <w:t>317,29</w:t>
            </w:r>
          </w:p>
        </w:tc>
        <w:tc>
          <w:tcPr>
            <w:tcW w:w="1480" w:type="dxa"/>
            <w:tcBorders>
              <w:left w:val="single" w:sz="4" w:space="0" w:color="000000"/>
              <w:bottom w:val="single" w:sz="4" w:space="0" w:color="000000"/>
            </w:tcBorders>
          </w:tcPr>
          <w:p>
            <w:pPr>
              <w:pStyle w:val="Style19"/>
              <w:widowControl w:val="false"/>
              <w:jc w:val="center"/>
              <w:rPr/>
            </w:pPr>
            <w:r>
              <w:rPr/>
              <w:t>369,77</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419,87</w:t>
            </w:r>
          </w:p>
        </w:tc>
      </w:tr>
      <w:tr>
        <w:trPr/>
        <w:tc>
          <w:tcPr>
            <w:tcW w:w="3062" w:type="dxa"/>
            <w:tcBorders>
              <w:left w:val="single" w:sz="4" w:space="0" w:color="000000"/>
              <w:bottom w:val="single" w:sz="4" w:space="0" w:color="000000"/>
            </w:tcBorders>
          </w:tcPr>
          <w:p>
            <w:pPr>
              <w:pStyle w:val="Style19"/>
              <w:widowControl w:val="false"/>
              <w:jc w:val="center"/>
              <w:rPr/>
            </w:pPr>
            <w:r>
              <w:rPr/>
              <w:t xml:space="preserve">Специальные надбавки с 1 </w:t>
            </w:r>
            <w:r>
              <w:rPr>
                <w:rFonts w:eastAsia="Times New Roman" w:cs="Times New Roman"/>
                <w:color w:val="auto"/>
                <w:sz w:val="20"/>
                <w:szCs w:val="20"/>
                <w:lang w:val="ru-RU" w:eastAsia="zh-CN" w:bidi="ar-SA"/>
              </w:rPr>
              <w:t>июля</w:t>
            </w:r>
            <w:r>
              <w:rPr/>
              <w:t xml:space="preserve"> по 31 </w:t>
            </w:r>
            <w:r>
              <w:rPr>
                <w:rFonts w:eastAsia="Times New Roman" w:cs="Times New Roman"/>
                <w:color w:val="auto"/>
                <w:sz w:val="20"/>
                <w:szCs w:val="20"/>
                <w:lang w:val="ru-RU" w:eastAsia="zh-CN" w:bidi="ar-SA"/>
              </w:rPr>
              <w:t>декабря</w:t>
            </w:r>
            <w:r>
              <w:rPr/>
              <w:t xml:space="preserve"> 2024 года</w:t>
            </w:r>
          </w:p>
        </w:tc>
        <w:tc>
          <w:tcPr>
            <w:tcW w:w="1533" w:type="dxa"/>
            <w:tcBorders>
              <w:left w:val="single" w:sz="4" w:space="0" w:color="000000"/>
              <w:bottom w:val="single" w:sz="4" w:space="0" w:color="000000"/>
            </w:tcBorders>
          </w:tcPr>
          <w:p>
            <w:pPr>
              <w:pStyle w:val="Style19"/>
              <w:widowControl w:val="false"/>
              <w:jc w:val="center"/>
              <w:rPr/>
            </w:pPr>
            <w:r>
              <w:rPr/>
              <w:t>204,21</w:t>
            </w:r>
          </w:p>
        </w:tc>
        <w:tc>
          <w:tcPr>
            <w:tcW w:w="1416" w:type="dxa"/>
            <w:tcBorders>
              <w:left w:val="single" w:sz="4" w:space="0" w:color="000000"/>
              <w:bottom w:val="single" w:sz="4" w:space="0" w:color="000000"/>
            </w:tcBorders>
          </w:tcPr>
          <w:p>
            <w:pPr>
              <w:pStyle w:val="Style19"/>
              <w:widowControl w:val="false"/>
              <w:jc w:val="center"/>
              <w:rPr/>
            </w:pPr>
            <w:r>
              <w:rPr/>
              <w:t>285,89</w:t>
            </w:r>
          </w:p>
        </w:tc>
        <w:tc>
          <w:tcPr>
            <w:tcW w:w="1585" w:type="dxa"/>
            <w:tcBorders>
              <w:left w:val="single" w:sz="4" w:space="0" w:color="000000"/>
              <w:bottom w:val="single" w:sz="4" w:space="0" w:color="000000"/>
            </w:tcBorders>
          </w:tcPr>
          <w:p>
            <w:pPr>
              <w:pStyle w:val="Style19"/>
              <w:widowControl w:val="false"/>
              <w:jc w:val="center"/>
              <w:rPr/>
            </w:pPr>
            <w:r>
              <w:rPr/>
              <w:t>339,50</w:t>
            </w:r>
          </w:p>
        </w:tc>
        <w:tc>
          <w:tcPr>
            <w:tcW w:w="1480" w:type="dxa"/>
            <w:tcBorders>
              <w:left w:val="single" w:sz="4" w:space="0" w:color="000000"/>
              <w:bottom w:val="single" w:sz="4" w:space="0" w:color="000000"/>
            </w:tcBorders>
          </w:tcPr>
          <w:p>
            <w:pPr>
              <w:pStyle w:val="Style19"/>
              <w:widowControl w:val="false"/>
              <w:jc w:val="center"/>
              <w:rPr/>
            </w:pPr>
            <w:r>
              <w:rPr/>
              <w:t>395,65</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449,26</w:t>
            </w:r>
          </w:p>
        </w:tc>
      </w:tr>
    </w:tbl>
    <w:p>
      <w:pPr>
        <w:pStyle w:val="Normal"/>
        <w:widowControl w:val="false"/>
        <w:shd w:val="clear" w:color="auto" w:fill="FFFFFF"/>
        <w:tabs>
          <w:tab w:val="clear" w:pos="709"/>
          <w:tab w:val="left" w:pos="0" w:leader="none"/>
        </w:tabs>
        <w:ind w:hanging="0" w:right="14"/>
        <w:jc w:val="both"/>
        <w:rPr>
          <w:sz w:val="22"/>
          <w:szCs w:val="22"/>
        </w:rPr>
      </w:pPr>
      <w:r>
        <w:rPr>
          <w:color w:val="000000"/>
          <w:spacing w:val="1"/>
          <w:sz w:val="21"/>
          <w:szCs w:val="21"/>
        </w:rPr>
        <w:t>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 Об изменении тарифа ГРО уведомляет Потребителя в течение 10-ти рабочих дней с даты вступления в силу соответствующего Приказа путем направления письменного уведомления по адресу Потребителя, указанному в тексте настоящего Договора.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 Однако Стороны могут подписать такое дополнительное соглашение, зафиксировав произошедшее изменение тарифа на услуги по транспортировке</w:t>
      </w:r>
      <w:r>
        <w:rPr>
          <w:color w:val="000000"/>
          <w:spacing w:val="3"/>
          <w:sz w:val="21"/>
          <w:szCs w:val="21"/>
        </w:rPr>
        <w:t>.</w:t>
      </w:r>
    </w:p>
    <w:p>
      <w:pPr>
        <w:pStyle w:val="Normal"/>
        <w:widowControl w:val="false"/>
        <w:shd w:val="clear" w:color="auto" w:fill="FFFFFF"/>
        <w:tabs>
          <w:tab w:val="clear" w:pos="709"/>
          <w:tab w:val="left" w:pos="432" w:leader="none"/>
        </w:tabs>
        <w:snapToGrid w:val="false"/>
        <w:ind w:firstLine="567" w:right="14"/>
        <w:jc w:val="both"/>
        <w:rPr>
          <w:sz w:val="21"/>
          <w:szCs w:val="21"/>
        </w:rPr>
      </w:pPr>
      <w:r>
        <w:rPr>
          <w:spacing w:val="1"/>
          <w:sz w:val="21"/>
          <w:szCs w:val="21"/>
        </w:rPr>
        <w:t xml:space="preserve">3.2. </w:t>
      </w:r>
      <w:r>
        <w:rPr>
          <w:color w:val="000000"/>
          <w:spacing w:val="1"/>
          <w:sz w:val="21"/>
          <w:szCs w:val="21"/>
          <w:lang w:eastAsia="zh-CN"/>
        </w:rPr>
        <w:t xml:space="preserve">Ежемесячно, не позднее 10-го числа месяца следующего за отчетным ГРО выставляет счет-фактуру и 2 экземпляра Акта оказанных услуг за транспортировку газа. Акты оказанных услуг подписываются уполномоченным лицом </w:t>
      </w:r>
      <w:r>
        <w:rPr>
          <w:rFonts w:eastAsia="Times New Roman" w:cs="Times New Roman"/>
          <w:color w:val="000000"/>
          <w:spacing w:val="1"/>
          <w:kern w:val="0"/>
          <w:sz w:val="21"/>
          <w:szCs w:val="21"/>
          <w:lang w:val="ru-RU" w:eastAsia="zh-CN" w:bidi="ar-SA"/>
        </w:rPr>
        <w:t>Потребителя</w:t>
      </w:r>
      <w:r>
        <w:rPr>
          <w:color w:val="000000"/>
          <w:spacing w:val="1"/>
          <w:sz w:val="21"/>
          <w:szCs w:val="21"/>
          <w:lang w:eastAsia="zh-CN"/>
        </w:rPr>
        <w:t>, один экземпляр Акта оказанных услуг возвращается ГРО в течение 5-ти (пяти) дней с момента получения</w:t>
      </w:r>
      <w:r>
        <w:rPr>
          <w:color w:val="000000"/>
          <w:spacing w:val="2"/>
          <w:sz w:val="21"/>
          <w:szCs w:val="21"/>
          <w:lang w:eastAsia="zh-CN"/>
        </w:rPr>
        <w:t xml:space="preserve">. В случае неподписания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Акта оказанных услуг в течение </w:t>
      </w:r>
      <w:r>
        <w:rPr>
          <w:color w:val="000000"/>
          <w:spacing w:val="1"/>
          <w:sz w:val="21"/>
          <w:szCs w:val="21"/>
          <w:lang w:eastAsia="zh-CN"/>
        </w:rPr>
        <w:t>5-ти (пяти)</w:t>
      </w:r>
      <w:r>
        <w:rPr>
          <w:color w:val="000000"/>
          <w:spacing w:val="2"/>
          <w:sz w:val="21"/>
          <w:szCs w:val="21"/>
          <w:lang w:eastAsia="zh-CN"/>
        </w:rPr>
        <w:t xml:space="preserve"> дней с момента его получения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и непредставления последним письменных возражений и претензий по оказанным услугам, Акт оказанных услуг считается подписанным и утвержденным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и подлежит оплате в полном объеме.</w:t>
      </w:r>
      <w:r>
        <w:rPr>
          <w:b/>
          <w:color w:val="000000"/>
          <w:spacing w:val="2"/>
          <w:sz w:val="21"/>
          <w:szCs w:val="21"/>
          <w:lang w:eastAsia="zh-CN"/>
        </w:rPr>
        <w:t xml:space="preserve"> </w:t>
      </w:r>
      <w:r>
        <w:rPr>
          <w:color w:val="000000"/>
          <w:spacing w:val="2"/>
          <w:sz w:val="21"/>
          <w:szCs w:val="21"/>
          <w:lang w:eastAsia="zh-CN"/>
        </w:rPr>
        <w:t xml:space="preserve">При наличии подключения </w:t>
      </w:r>
      <w:r>
        <w:rPr>
          <w:rFonts w:eastAsia="Times New Roman" w:cs="Times New Roman"/>
          <w:color w:val="000000"/>
          <w:spacing w:val="2"/>
          <w:kern w:val="0"/>
          <w:sz w:val="21"/>
          <w:szCs w:val="21"/>
          <w:lang w:val="ru-RU" w:eastAsia="zh-CN" w:bidi="ar-SA"/>
        </w:rPr>
        <w:t>Потребителя</w:t>
      </w:r>
      <w:r>
        <w:rPr>
          <w:color w:val="000000"/>
          <w:spacing w:val="2"/>
          <w:sz w:val="21"/>
          <w:szCs w:val="21"/>
          <w:lang w:eastAsia="zh-CN"/>
        </w:rPr>
        <w:t xml:space="preserve"> к защищенной информационной системе электронного документооборота АО «ПФ «СКБ Контур» (счета, счет-фактуры и акты оказанных услуг) направляются </w:t>
      </w:r>
      <w:r>
        <w:rPr>
          <w:rFonts w:eastAsia="Times New Roman" w:cs="Times New Roman"/>
          <w:color w:val="000000"/>
          <w:spacing w:val="2"/>
          <w:kern w:val="0"/>
          <w:sz w:val="21"/>
          <w:szCs w:val="21"/>
          <w:lang w:val="ru-RU" w:eastAsia="zh-CN" w:bidi="ar-SA"/>
        </w:rPr>
        <w:t>Потребителю</w:t>
      </w:r>
      <w:r>
        <w:rPr>
          <w:color w:val="000000"/>
          <w:spacing w:val="2"/>
          <w:sz w:val="21"/>
          <w:szCs w:val="21"/>
          <w:lang w:eastAsia="zh-CN"/>
        </w:rPr>
        <w:t xml:space="preserve"> в электронном формате.</w:t>
      </w:r>
    </w:p>
    <w:p>
      <w:pPr>
        <w:pStyle w:val="Normal"/>
        <w:widowControl w:val="false"/>
        <w:shd w:val="clear" w:color="auto" w:fill="FFFFFF"/>
        <w:tabs>
          <w:tab w:val="clear" w:pos="709"/>
          <w:tab w:val="left" w:pos="432" w:leader="none"/>
        </w:tabs>
        <w:snapToGrid w:val="false"/>
        <w:ind w:firstLine="567" w:right="14"/>
        <w:jc w:val="both"/>
        <w:rPr>
          <w:sz w:val="21"/>
          <w:szCs w:val="21"/>
        </w:rPr>
      </w:pPr>
      <w:r>
        <w:rPr>
          <w:spacing w:val="1"/>
          <w:sz w:val="21"/>
          <w:szCs w:val="21"/>
        </w:rPr>
        <w:t>3.3. Оплату по настоящему Договору Потребитель производит ежемесячно путем перечисления денежных средств на расчетный счет ГРО до 25 числа месяца, следующего за месяцем транспортировки газа на основании счетов-фактур, предоставленных ГРО Потребителю.</w:t>
      </w:r>
    </w:p>
    <w:p>
      <w:pPr>
        <w:pStyle w:val="Normal"/>
        <w:widowControl w:val="false"/>
        <w:shd w:val="clear" w:color="auto" w:fill="FFFFFF"/>
        <w:tabs>
          <w:tab w:val="clear" w:pos="709"/>
          <w:tab w:val="left" w:pos="432" w:leader="none"/>
        </w:tabs>
        <w:ind w:firstLine="567" w:right="14"/>
        <w:jc w:val="both"/>
        <w:rPr>
          <w:sz w:val="21"/>
          <w:szCs w:val="21"/>
        </w:rPr>
      </w:pPr>
      <w:r>
        <w:rPr>
          <w:spacing w:val="-3"/>
          <w:sz w:val="21"/>
          <w:szCs w:val="21"/>
        </w:rPr>
        <w:t xml:space="preserve">Расчет производится на счет ГРО путем выписки платежных поручений, в которых указывается номер Договора, дата его заключения, стоимость транспортировки газа, суммы налогов.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Платеж считается совершенным по факту поступления денег на счет ГРО.</w:t>
      </w:r>
    </w:p>
    <w:p>
      <w:pPr>
        <w:pStyle w:val="Normal"/>
        <w:widowControl w:val="false"/>
        <w:shd w:val="clear" w:color="auto" w:fill="FFFFFF"/>
        <w:tabs>
          <w:tab w:val="clear" w:pos="709"/>
          <w:tab w:val="left" w:pos="432" w:leader="none"/>
        </w:tabs>
        <w:ind w:firstLine="567" w:right="14"/>
        <w:jc w:val="both"/>
        <w:rPr>
          <w:sz w:val="21"/>
          <w:szCs w:val="21"/>
        </w:rPr>
      </w:pPr>
      <w:r>
        <w:rPr>
          <w:sz w:val="21"/>
          <w:szCs w:val="21"/>
        </w:rPr>
        <w:t>ГРО, независимо от указанного в платежном поручении назначения платежа, кроме оплаты штрафа, пени и процентов за пользование денежными средствами, зачисляет поступившие денежные средства:</w:t>
      </w:r>
    </w:p>
    <w:p>
      <w:pPr>
        <w:pStyle w:val="ConsPlusNonformat"/>
        <w:widowControl w:val="false"/>
        <w:ind w:firstLine="567"/>
        <w:jc w:val="both"/>
        <w:rPr>
          <w:sz w:val="21"/>
          <w:szCs w:val="21"/>
        </w:rPr>
      </w:pPr>
      <w:r>
        <w:rPr>
          <w:rFonts w:cs="Times New Roman" w:ascii="Times New Roman" w:hAnsi="Times New Roman"/>
          <w:sz w:val="21"/>
          <w:szCs w:val="21"/>
        </w:rPr>
        <w:t xml:space="preserve">— </w:t>
      </w:r>
      <w:r>
        <w:rPr>
          <w:rFonts w:ascii="Times New Roman" w:hAnsi="Times New Roman"/>
          <w:sz w:val="21"/>
          <w:szCs w:val="21"/>
        </w:rPr>
        <w:t>при наличии задолженности у Потребителя за ранее транспортируемый по Договору газ – на погашение образовавшегося долга;</w:t>
      </w:r>
    </w:p>
    <w:p>
      <w:pPr>
        <w:pStyle w:val="ConsPlusNonformat"/>
        <w:widowControl w:val="false"/>
        <w:ind w:firstLine="567"/>
        <w:jc w:val="both"/>
        <w:rPr>
          <w:sz w:val="21"/>
          <w:szCs w:val="21"/>
        </w:rPr>
      </w:pPr>
      <w:r>
        <w:rPr>
          <w:rFonts w:ascii="Times New Roman" w:hAnsi="Times New Roman"/>
          <w:sz w:val="21"/>
          <w:szCs w:val="21"/>
        </w:rPr>
        <w:t xml:space="preserve">— </w:t>
      </w:r>
      <w:r>
        <w:rPr>
          <w:rFonts w:ascii="Times New Roman" w:hAnsi="Times New Roman"/>
          <w:sz w:val="21"/>
          <w:szCs w:val="21"/>
        </w:rPr>
        <w:t>при отсутствии задолженности – в качестве аванса за транспортировку газа на будущие расчётные периоды.</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 xml:space="preserve">3.4. Полное либо частичное ограничение подачи (поставки) и отбора газа, в случае неисполнения или ненадлежащего исполнения Потребителем обязательств по оплате поставляемого газа и (или) услуг по его транспортировке, осуществляется в порядке, утверждённом  Постановлением Правительства РФ от 25.11.2016г. № 1245.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3.5. При проведении принудительного ограничения (прекращения)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 в том числе принадлежащем Потребителю, а равно находящемся в их владении или пользовании, заглушку либо вырезать часть газопровода. После устранения обстоятельств, явившихся основанием для отключения Потребителя, восстановление газопроводов, а также оплата иных расходов понесенных ГРО в связи с проведением работ по введению и снятию ограничения (прекращения) подачи газа, производится за счет Потребителя.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Для оплаты восстановления газопроводов, а также иных работ по введению и снятию ограничения (прекращения) подачи газа ГРО выставляет счет-фактуру и 2 экземпляра Акта выполненных работ. Акты выполненных работ подписываются уполномоченным лицом Потребителя, один экземпляр Акта выполненных работ возвращается ГРО в течение 3-х (трех) дней с момента получения. В случае неподписания Потребителем Акта выполненных работ в течение 3-х (трех) дней с момента его получения Потребителем и непредставления последним письменных возражений и претензий по выполненным работам, Акт выполненных работ считается подписанным и утвержденным Потребителем и подлежит оплате в полном объеме в течение 10 (десяти) дней с момента его получения.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В случае погашения Потребителем задолженности по оплате поставляемого газа и услуг по его транспортировке дальнейшее ограничение его подачи (поставки) не производится, а уже введенное ограничение подлежит отмене в порядке, предусмотренном действующим законодательством, при условии оплаты Потребителем расходов, понесенных в связи с проведением работ по введению и снятию ограничения.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3.6. При  перерасходе  газа  без  предварительного  согласования  с  ГРО,  Потребитель  оплачивает дополнительно</w:t>
      </w:r>
      <w:r>
        <w:rPr>
          <w:color w:val="0000FF"/>
          <w:spacing w:val="1"/>
          <w:sz w:val="21"/>
          <w:szCs w:val="21"/>
        </w:rPr>
        <w:t xml:space="preserve">  </w:t>
      </w:r>
      <w:r>
        <w:rPr>
          <w:color w:val="000000"/>
          <w:spacing w:val="1"/>
          <w:sz w:val="21"/>
          <w:szCs w:val="21"/>
        </w:rPr>
        <w:t>стоимость транспортировки газа, сверх установленного Договором объёма</w:t>
      </w:r>
      <w:r>
        <w:rPr>
          <w:color w:val="0000FF"/>
          <w:spacing w:val="1"/>
          <w:sz w:val="21"/>
          <w:szCs w:val="21"/>
        </w:rPr>
        <w:t xml:space="preserve">, </w:t>
      </w:r>
      <w:r>
        <w:rPr>
          <w:color w:val="000000"/>
          <w:spacing w:val="1"/>
          <w:sz w:val="21"/>
          <w:szCs w:val="21"/>
        </w:rPr>
        <w:t>за каждые сутки с применением коэффициента, в соответствии с Правилами поставки газа в РФ, утвержденными  постановлением Правительства РФ  от 1 ноября 2021г. №1901, кроме объёмов газа, израсходованным населением и коммунально-бытовыми потребителями.</w:t>
      </w:r>
    </w:p>
    <w:p>
      <w:pPr>
        <w:pStyle w:val="Normal"/>
        <w:widowControl w:val="false"/>
        <w:shd w:val="clear" w:color="auto" w:fill="FFFFFF"/>
        <w:tabs>
          <w:tab w:val="clear" w:pos="709"/>
          <w:tab w:val="left" w:pos="432" w:leader="none"/>
        </w:tabs>
        <w:ind w:firstLine="567" w:right="14"/>
        <w:jc w:val="both"/>
        <w:rPr>
          <w:rFonts w:ascii="Times New Roman" w:hAnsi="Times New Roman"/>
          <w:sz w:val="21"/>
          <w:szCs w:val="21"/>
        </w:rPr>
      </w:pPr>
      <w:r>
        <w:rPr>
          <w:color w:val="000000"/>
          <w:spacing w:val="1"/>
          <w:sz w:val="21"/>
          <w:szCs w:val="21"/>
        </w:rPr>
        <w:t xml:space="preserve">3.7. </w:t>
      </w:r>
      <w:r>
        <w:rPr>
          <w:b w:val="false"/>
          <w:i w:val="false"/>
          <w:caps w:val="false"/>
          <w:smallCaps w:val="false"/>
          <w:color w:val="000000"/>
          <w:spacing w:val="0"/>
          <w:sz w:val="21"/>
          <w:szCs w:val="21"/>
        </w:rPr>
        <w:t>В случае несвоевременной и (или) неполной оплаты услуг по транспортировке газа Потребитель обязан уплатить ГРО пени в размере, установленном Федеральным законом от 31.03.1999 N 69-ФЗ «О газоснабжении в Российской Федерации».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 xml:space="preserve">3.8. </w:t>
      </w:r>
      <w:r>
        <w:rPr>
          <w:rFonts w:eastAsia="Times New Roman" w:cs="Times New Roman"/>
          <w:color w:val="000000"/>
          <w:spacing w:val="1"/>
          <w:kern w:val="0"/>
          <w:sz w:val="21"/>
          <w:szCs w:val="21"/>
          <w:lang w:val="ru-RU" w:eastAsia="ru-RU" w:bidi="ar-SA"/>
        </w:rPr>
        <w:t>Потребитель</w:t>
      </w:r>
      <w:r>
        <w:rPr>
          <w:color w:val="000000"/>
          <w:spacing w:val="1"/>
          <w:sz w:val="21"/>
          <w:szCs w:val="21"/>
        </w:rPr>
        <w:t xml:space="preserve"> выражает согласие на предоставление права ГРО выставлять документы (счета, счета-фактуры, акты приемки-передачи, акты сверки и др.) в электронном формате с использованием защищенных информационных систем электронного документооборота. Указанные документы подписываются электронной цифровой подписью (ЭЦП) ГРО и </w:t>
      </w:r>
      <w:r>
        <w:rPr>
          <w:rFonts w:eastAsia="Times New Roman" w:cs="Times New Roman"/>
          <w:color w:val="000000"/>
          <w:spacing w:val="1"/>
          <w:kern w:val="0"/>
          <w:sz w:val="21"/>
          <w:szCs w:val="21"/>
          <w:lang w:val="ru-RU" w:eastAsia="ru-RU" w:bidi="ar-SA"/>
        </w:rPr>
        <w:t>Потребителя</w:t>
      </w:r>
      <w:r>
        <w:rPr>
          <w:color w:val="000000"/>
          <w:spacing w:val="1"/>
          <w:sz w:val="21"/>
          <w:szCs w:val="21"/>
        </w:rPr>
        <w:t xml:space="preserve">. Реализация данного права ГРО осуществляется не ранее даты подключения </w:t>
      </w:r>
      <w:r>
        <w:rPr>
          <w:rFonts w:eastAsia="Times New Roman" w:cs="Times New Roman"/>
          <w:color w:val="000000"/>
          <w:spacing w:val="1"/>
          <w:kern w:val="0"/>
          <w:sz w:val="21"/>
          <w:szCs w:val="21"/>
          <w:lang w:val="ru-RU" w:eastAsia="ru-RU" w:bidi="ar-SA"/>
        </w:rPr>
        <w:t>Потребителя</w:t>
      </w:r>
      <w:r>
        <w:rPr>
          <w:color w:val="000000"/>
          <w:spacing w:val="1"/>
          <w:sz w:val="21"/>
          <w:szCs w:val="21"/>
        </w:rPr>
        <w:t xml:space="preserve"> к защищенной информационной системе электронного документооборота Акционерного общества «Производственная фирма «СКБ Контур».</w:t>
      </w:r>
    </w:p>
    <w:p>
      <w:pPr>
        <w:pStyle w:val="Normal"/>
        <w:widowControl w:val="false"/>
        <w:shd w:val="clear" w:color="auto" w:fill="FFFFFF"/>
        <w:tabs>
          <w:tab w:val="clear" w:pos="709"/>
          <w:tab w:val="left" w:pos="432" w:leader="none"/>
        </w:tabs>
        <w:ind w:firstLine="567" w:right="14"/>
        <w:jc w:val="center"/>
        <w:rPr>
          <w:sz w:val="21"/>
          <w:szCs w:val="21"/>
        </w:rPr>
      </w:pPr>
      <w:r>
        <w:rPr>
          <w:b/>
          <w:color w:val="000000"/>
          <w:spacing w:val="2"/>
          <w:sz w:val="21"/>
          <w:szCs w:val="21"/>
        </w:rPr>
        <w:t>4. Порядок подачи газа Потребителю и начала газопотребления.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4.1. Потребитель не менее чем за 2-ое суток до предполагаемого пуска газа посылает официальный запрос (письмо, телефонограмму, факсограмму) с указанием даты и времени пуска в диспетчерскую ГРО.</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ГРО после запроса от Потребителя выдает письменное разрешение  на подачу газа, при наличии: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 </w:t>
      </w:r>
      <w:r>
        <w:rPr>
          <w:color w:val="000000"/>
          <w:spacing w:val="2"/>
          <w:sz w:val="21"/>
          <w:szCs w:val="21"/>
        </w:rPr>
        <w:t>разрешения от Поставщика;</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 </w:t>
      </w:r>
      <w:r>
        <w:rPr>
          <w:color w:val="000000"/>
          <w:spacing w:val="2"/>
          <w:sz w:val="21"/>
          <w:szCs w:val="21"/>
        </w:rPr>
        <w:t xml:space="preserve">акта о проверке метрологической службой ГРО расходомерных узлов Потребителя. </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5. Порядок  учета  газа.</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5.1. Учет газа производится в соответствии с действующими стандартами и нормативными документами.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5.2. Сведения о количестве поданного – принятого газа Сторона, ведущая учёт газа, передает другой Стороне в соответствии с порядком и в сроки, установленные настоящим Договором.</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5.3. Сторона,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5.4. По окончании каждого месяца уполномоченные представители Сторон составляют и подписывают акт </w:t>
      </w:r>
      <w:r>
        <w:rPr>
          <w:spacing w:val="1"/>
          <w:sz w:val="21"/>
          <w:szCs w:val="21"/>
        </w:rPr>
        <w:t>оказанных услуг</w:t>
      </w:r>
      <w:r>
        <w:rPr>
          <w:color w:val="000000"/>
          <w:spacing w:val="2"/>
          <w:sz w:val="21"/>
          <w:szCs w:val="21"/>
        </w:rPr>
        <w:t xml:space="preserve"> не позднее 5-го  числа месяца, следующего за отчетным.</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Этот акт является основанием для проведения расчетов.</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5.5. При отсутствии,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 соответствующему проектной мощности неопломбированных газопотребляющих установок и времени, в течение которого подавался газ в период неисправности приборов.</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5.6. При наличии разногласий Сторона, не согласная с определением количества поставленного газа, отражает в акте свое особое мнение и вправе обратится в Арбитражный суд Омской области.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До решения суда количество поставленного газа принимается по показаниям приборов Стороны передающей газ</w:t>
      </w:r>
      <w:r>
        <w:rPr>
          <w:spacing w:val="2"/>
          <w:sz w:val="21"/>
          <w:szCs w:val="21"/>
        </w:rPr>
        <w:t>.</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5.7. Стороны обязаны уведомлять друг друга о технически необходимом сокращении или полном прекращении поставки газа в следующие сроки: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 </w:t>
      </w:r>
      <w:r>
        <w:rPr>
          <w:color w:val="000000"/>
          <w:spacing w:val="2"/>
          <w:sz w:val="21"/>
          <w:szCs w:val="21"/>
        </w:rPr>
        <w:t>о плановой остановке – за 30  дней до остановки;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 </w:t>
      </w:r>
      <w:r>
        <w:rPr>
          <w:color w:val="000000"/>
          <w:spacing w:val="2"/>
          <w:sz w:val="21"/>
          <w:szCs w:val="21"/>
        </w:rPr>
        <w:t>при неплановых остановках – за 3 суток до остановки;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 </w:t>
      </w:r>
      <w:r>
        <w:rPr>
          <w:color w:val="000000"/>
          <w:spacing w:val="2"/>
          <w:sz w:val="21"/>
          <w:szCs w:val="21"/>
        </w:rPr>
        <w:t xml:space="preserve">при возникновении аварийной ситуации – немедленно.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5.8. По окончании сезонного отбора газа, а также, в случае планируемой продолжительной остановки газопотребляющего оборудования (более 3</w:t>
      </w:r>
      <w:r>
        <w:rPr>
          <w:color w:val="000000"/>
          <w:spacing w:val="2"/>
          <w:sz w:val="21"/>
          <w:szCs w:val="21"/>
          <w:vertAlign w:val="superscript"/>
        </w:rPr>
        <w:t>х</w:t>
      </w:r>
      <w:r>
        <w:rPr>
          <w:color w:val="000000"/>
          <w:spacing w:val="2"/>
          <w:sz w:val="21"/>
          <w:szCs w:val="21"/>
        </w:rPr>
        <w:t xml:space="preserve"> суток) Потребитель обязан уведомить об этом ГРО, ГРО производит опломбирование запорной арматуры на подводящем газопроводе с составлением акта.</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6. Права и обязанности Сторон.</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6.1. Стороны обязуются выполнять требования Правил поставки газа в РФ, </w:t>
      </w:r>
      <w:r>
        <w:rPr>
          <w:rFonts w:eastAsia="Times New Roman" w:cs="Times New Roman"/>
          <w:color w:val="000000"/>
          <w:spacing w:val="2"/>
          <w:sz w:val="21"/>
          <w:szCs w:val="21"/>
        </w:rPr>
        <w:t>которые действуют в момент исполнения договорных обязательств</w:t>
      </w:r>
      <w:r>
        <w:rPr>
          <w:color w:val="000000"/>
          <w:spacing w:val="2"/>
          <w:sz w:val="21"/>
          <w:szCs w:val="21"/>
        </w:rPr>
        <w:t>, «Положения об обеспечении доступа организации к местным газораспределительным сетям», утвержденных постановлением Правительства РФ от 24.11.98г. №1370, «Правил учёта газа» утвержденных Приказом Минэнерго России 30.12.2013г. №961, и других действующих нормативных документов по поставке газа.</w:t>
      </w:r>
    </w:p>
    <w:p>
      <w:pPr>
        <w:pStyle w:val="Normal"/>
        <w:widowControl w:val="false"/>
        <w:ind w:firstLine="567" w:right="14"/>
        <w:jc w:val="both"/>
        <w:rPr>
          <w:sz w:val="21"/>
          <w:szCs w:val="21"/>
        </w:rPr>
      </w:pPr>
      <w:r>
        <w:rPr>
          <w:sz w:val="21"/>
          <w:szCs w:val="21"/>
        </w:rPr>
        <w:t>6.2. Потребитель обязан:</w:t>
      </w:r>
    </w:p>
    <w:p>
      <w:pPr>
        <w:pStyle w:val="Normal"/>
        <w:widowControl w:val="false"/>
        <w:ind w:firstLine="567" w:right="14"/>
        <w:jc w:val="both"/>
        <w:rPr>
          <w:sz w:val="21"/>
          <w:szCs w:val="21"/>
        </w:rPr>
      </w:pPr>
      <w:r>
        <w:rPr>
          <w:sz w:val="21"/>
          <w:szCs w:val="21"/>
        </w:rPr>
        <w:t>6.2.1. Отбирать газ из газотранспортной системы равномерно в течение месяца в пределах установленной Договором среднесуточной нормы.</w:t>
      </w:r>
    </w:p>
    <w:p>
      <w:pPr>
        <w:pStyle w:val="Normal"/>
        <w:widowControl w:val="false"/>
        <w:ind w:firstLine="567" w:right="14"/>
        <w:jc w:val="both"/>
        <w:rPr>
          <w:sz w:val="21"/>
          <w:szCs w:val="21"/>
        </w:rPr>
      </w:pPr>
      <w:r>
        <w:rPr>
          <w:sz w:val="21"/>
          <w:szCs w:val="21"/>
        </w:rPr>
        <w:t>6.2.2. Исполнять распоряжение диспетчера ГРО об изменении режимов газопотребления.</w:t>
      </w:r>
    </w:p>
    <w:p>
      <w:pPr>
        <w:pStyle w:val="Normal"/>
        <w:widowControl w:val="false"/>
        <w:ind w:firstLine="567" w:right="14"/>
        <w:jc w:val="both"/>
        <w:rPr>
          <w:sz w:val="21"/>
          <w:szCs w:val="21"/>
        </w:rPr>
      </w:pPr>
      <w:r>
        <w:rPr>
          <w:sz w:val="21"/>
          <w:szCs w:val="21"/>
        </w:rPr>
        <w:t>6.2.3.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w:t>
      </w:r>
    </w:p>
    <w:p>
      <w:pPr>
        <w:pStyle w:val="Normal"/>
        <w:widowControl w:val="false"/>
        <w:ind w:firstLine="567" w:right="14"/>
        <w:jc w:val="both"/>
        <w:rPr>
          <w:sz w:val="21"/>
          <w:szCs w:val="21"/>
        </w:rPr>
      </w:pPr>
      <w:r>
        <w:rPr>
          <w:sz w:val="21"/>
          <w:szCs w:val="21"/>
        </w:rPr>
        <w:t>6.2.4. Оплачивать услуги по транспортировке газа по цене в соответствии с п.3.1. настоящего Договора, в сроки и на условиях согласно п.3.3.</w:t>
      </w:r>
    </w:p>
    <w:p>
      <w:pPr>
        <w:pStyle w:val="Normal"/>
        <w:widowControl w:val="false"/>
        <w:ind w:firstLine="567" w:right="14"/>
        <w:jc w:val="both"/>
        <w:rPr>
          <w:sz w:val="21"/>
          <w:szCs w:val="21"/>
        </w:rPr>
      </w:pPr>
      <w:r>
        <w:rPr>
          <w:sz w:val="21"/>
          <w:szCs w:val="21"/>
        </w:rPr>
        <w:t>6.2.5. Ежесуточно производить учет отобранного газа за период с 13</w:t>
      </w:r>
      <w:r>
        <w:rPr>
          <w:sz w:val="21"/>
          <w:szCs w:val="21"/>
          <w:vertAlign w:val="superscript"/>
        </w:rPr>
        <w:t>00</w:t>
      </w:r>
      <w:r>
        <w:rPr>
          <w:sz w:val="21"/>
          <w:szCs w:val="21"/>
        </w:rPr>
        <w:t xml:space="preserve"> предыдущих суток до 13</w:t>
      </w:r>
      <w:r>
        <w:rPr>
          <w:sz w:val="21"/>
          <w:szCs w:val="21"/>
          <w:vertAlign w:val="superscript"/>
        </w:rPr>
        <w:t>00</w:t>
      </w:r>
      <w:r>
        <w:rPr>
          <w:sz w:val="21"/>
          <w:szCs w:val="21"/>
        </w:rPr>
        <w:t xml:space="preserve"> местного времени текущих суток и до 16</w:t>
      </w:r>
      <w:r>
        <w:rPr>
          <w:sz w:val="21"/>
          <w:szCs w:val="21"/>
          <w:vertAlign w:val="superscript"/>
        </w:rPr>
        <w:t>00</w:t>
      </w:r>
      <w:r>
        <w:rPr>
          <w:sz w:val="21"/>
          <w:szCs w:val="21"/>
        </w:rPr>
        <w:t xml:space="preserve"> информировать об объемах отобранного газа диспетчеров ГРО по тел. 24-25-58.</w:t>
      </w:r>
    </w:p>
    <w:p>
      <w:pPr>
        <w:pStyle w:val="Normal"/>
        <w:widowControl w:val="false"/>
        <w:ind w:firstLine="567" w:right="14"/>
        <w:jc w:val="both"/>
        <w:rPr>
          <w:sz w:val="21"/>
          <w:szCs w:val="21"/>
        </w:rPr>
      </w:pPr>
      <w:r>
        <w:rPr>
          <w:sz w:val="21"/>
          <w:szCs w:val="21"/>
        </w:rPr>
        <w:t>6.2.6. Потребитель обязуется обеспечить:</w:t>
      </w:r>
    </w:p>
    <w:p>
      <w:pPr>
        <w:pStyle w:val="Normal"/>
        <w:widowControl w:val="false"/>
        <w:ind w:firstLine="567" w:right="14"/>
        <w:jc w:val="both"/>
        <w:rPr>
          <w:sz w:val="21"/>
          <w:szCs w:val="21"/>
        </w:rPr>
      </w:pPr>
      <w:r>
        <w:rPr>
          <w:sz w:val="21"/>
          <w:szCs w:val="21"/>
        </w:rPr>
        <w:t xml:space="preserve">— </w:t>
      </w:r>
      <w:r>
        <w:rPr>
          <w:sz w:val="21"/>
          <w:szCs w:val="21"/>
        </w:rPr>
        <w:t>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w:t>
      </w:r>
    </w:p>
    <w:p>
      <w:pPr>
        <w:pStyle w:val="Normal"/>
        <w:widowControl w:val="false"/>
        <w:ind w:firstLine="567" w:right="14"/>
        <w:jc w:val="both"/>
        <w:rPr>
          <w:sz w:val="21"/>
          <w:szCs w:val="21"/>
        </w:rPr>
      </w:pPr>
      <w:r>
        <w:rPr>
          <w:sz w:val="21"/>
          <w:szCs w:val="21"/>
        </w:rPr>
        <w:t xml:space="preserve">— </w:t>
      </w:r>
      <w:r>
        <w:rPr>
          <w:sz w:val="21"/>
          <w:szCs w:val="21"/>
        </w:rPr>
        <w:t>безусловную работоспособность приборов учета газа, позволяющих определить состояние и достоверность учета расхода и потребления газа;</w:t>
      </w:r>
    </w:p>
    <w:p>
      <w:pPr>
        <w:pStyle w:val="Normal"/>
        <w:widowControl w:val="false"/>
        <w:ind w:firstLine="567" w:right="14"/>
        <w:jc w:val="both"/>
        <w:rPr>
          <w:sz w:val="21"/>
          <w:szCs w:val="21"/>
        </w:rPr>
      </w:pPr>
      <w:r>
        <w:rPr>
          <w:sz w:val="21"/>
          <w:szCs w:val="21"/>
        </w:rPr>
        <w:t xml:space="preserve">— </w:t>
      </w:r>
      <w:r>
        <w:rPr>
          <w:sz w:val="21"/>
          <w:szCs w:val="21"/>
        </w:rPr>
        <w:t>наличие и готовность к работе резервных топливных хозяйств, а также готовность газоиспользующих установок к работе на резервных видах топлива и наличие нормативных запасов резервного топлива;</w:t>
      </w:r>
    </w:p>
    <w:p>
      <w:pPr>
        <w:pStyle w:val="Normal"/>
        <w:widowControl w:val="false"/>
        <w:ind w:firstLine="567" w:right="14"/>
        <w:jc w:val="both"/>
        <w:rPr>
          <w:sz w:val="21"/>
          <w:szCs w:val="21"/>
        </w:rPr>
      </w:pPr>
      <w:r>
        <w:rPr>
          <w:sz w:val="21"/>
          <w:szCs w:val="21"/>
        </w:rPr>
        <w:t xml:space="preserve">— </w:t>
      </w:r>
      <w:r>
        <w:rPr>
          <w:sz w:val="21"/>
          <w:szCs w:val="21"/>
        </w:rPr>
        <w:t>доступ уполномоченным представителям ГРО для проверки исправности резервного топливного хозяйства и наличия резервного (аварийного) топлива;</w:t>
      </w:r>
    </w:p>
    <w:p>
      <w:pPr>
        <w:pStyle w:val="Normal"/>
        <w:widowControl w:val="false"/>
        <w:ind w:firstLine="567" w:right="14"/>
        <w:jc w:val="both"/>
        <w:rPr>
          <w:sz w:val="21"/>
          <w:szCs w:val="21"/>
        </w:rPr>
      </w:pPr>
      <w:r>
        <w:rPr>
          <w:sz w:val="21"/>
          <w:szCs w:val="21"/>
        </w:rPr>
        <w:t xml:space="preserve">— </w:t>
      </w:r>
      <w:r>
        <w:rPr>
          <w:sz w:val="21"/>
          <w:szCs w:val="21"/>
        </w:rPr>
        <w:t>предоставление по запросу ГРО данных о наличии резервного топлива.</w:t>
      </w:r>
    </w:p>
    <w:p>
      <w:pPr>
        <w:pStyle w:val="Normal"/>
        <w:widowControl w:val="false"/>
        <w:ind w:firstLine="567" w:right="14"/>
        <w:jc w:val="both"/>
        <w:rPr>
          <w:sz w:val="21"/>
          <w:szCs w:val="21"/>
        </w:rPr>
      </w:pPr>
      <w:r>
        <w:rPr>
          <w:sz w:val="21"/>
          <w:szCs w:val="21"/>
        </w:rPr>
        <w:t>6.3. ГРО обязана:</w:t>
      </w:r>
    </w:p>
    <w:p>
      <w:pPr>
        <w:pStyle w:val="Normal"/>
        <w:widowControl w:val="false"/>
        <w:ind w:firstLine="567" w:right="14"/>
        <w:jc w:val="both"/>
        <w:rPr>
          <w:sz w:val="21"/>
          <w:szCs w:val="21"/>
        </w:rPr>
      </w:pPr>
      <w:r>
        <w:rPr>
          <w:sz w:val="21"/>
          <w:szCs w:val="21"/>
        </w:rPr>
        <w:t>6.3.1. Транспортировать и передавать газ Потребителю в объемах согласно п.2.1. настоящего Договора, при условии выполнения Поставщиком (</w:t>
      </w:r>
      <w:r>
        <w:rPr>
          <w:rFonts w:eastAsia="Times New Roman" w:cs="Times New Roman"/>
          <w:color w:val="00000A"/>
          <w:kern w:val="0"/>
          <w:sz w:val="21"/>
          <w:szCs w:val="21"/>
          <w:lang w:val="ru-RU" w:eastAsia="ru-RU" w:bidi="ar-SA"/>
        </w:rPr>
        <w:t>___________________</w:t>
      </w:r>
      <w:r>
        <w:rPr>
          <w:sz w:val="21"/>
          <w:szCs w:val="21"/>
        </w:rPr>
        <w:t>)</w:t>
      </w:r>
      <w:r>
        <w:rPr>
          <w:color w:val="0000FF"/>
          <w:sz w:val="21"/>
          <w:szCs w:val="21"/>
        </w:rPr>
        <w:t xml:space="preserve"> </w:t>
      </w:r>
      <w:r>
        <w:rPr>
          <w:sz w:val="21"/>
          <w:szCs w:val="21"/>
        </w:rPr>
        <w:t xml:space="preserve">договорных объемов поставки газа по договору между Поставщиком и Покупателем. </w:t>
      </w:r>
    </w:p>
    <w:p>
      <w:pPr>
        <w:pStyle w:val="Normal"/>
        <w:widowControl w:val="false"/>
        <w:ind w:firstLine="567" w:right="14"/>
        <w:jc w:val="both"/>
        <w:rPr>
          <w:sz w:val="21"/>
          <w:szCs w:val="21"/>
        </w:rPr>
      </w:pPr>
      <w:r>
        <w:rPr>
          <w:sz w:val="21"/>
          <w:szCs w:val="21"/>
        </w:rPr>
        <w:t>6.3.2. Ограничивать отпуск газа Потребителю при перерасходе им суточной нормы.</w:t>
      </w:r>
    </w:p>
    <w:p>
      <w:pPr>
        <w:pStyle w:val="Normal"/>
        <w:widowControl w:val="false"/>
        <w:ind w:firstLine="567" w:right="14"/>
        <w:jc w:val="both"/>
        <w:rPr>
          <w:sz w:val="21"/>
          <w:szCs w:val="21"/>
        </w:rPr>
      </w:pPr>
      <w:r>
        <w:rPr>
          <w:sz w:val="21"/>
          <w:szCs w:val="21"/>
        </w:rPr>
        <w:t>6.3.3. ГРО имеет право уменьшить или полностью прекратить поставку газа Потребителю в случаях:</w:t>
      </w:r>
    </w:p>
    <w:p>
      <w:pPr>
        <w:pStyle w:val="Normal"/>
        <w:widowControl w:val="false"/>
        <w:ind w:firstLine="567" w:right="14"/>
        <w:jc w:val="both"/>
        <w:rPr>
          <w:sz w:val="21"/>
          <w:szCs w:val="21"/>
        </w:rPr>
      </w:pPr>
      <w:r>
        <w:rPr>
          <w:sz w:val="21"/>
          <w:szCs w:val="21"/>
        </w:rPr>
        <w:t xml:space="preserve">— </w:t>
      </w:r>
      <w:r>
        <w:rPr>
          <w:sz w:val="21"/>
          <w:szCs w:val="21"/>
        </w:rPr>
        <w:t>неоднократного нарушения сроков оплаты услуг по транспортировке газа;</w:t>
      </w:r>
    </w:p>
    <w:p>
      <w:pPr>
        <w:pStyle w:val="Normal"/>
        <w:widowControl w:val="false"/>
        <w:ind w:firstLine="567" w:right="14"/>
        <w:jc w:val="both"/>
        <w:rPr>
          <w:sz w:val="21"/>
          <w:szCs w:val="21"/>
        </w:rPr>
      </w:pPr>
      <w:r>
        <w:rPr>
          <w:sz w:val="21"/>
          <w:szCs w:val="21"/>
        </w:rPr>
        <w:t xml:space="preserve">— </w:t>
      </w:r>
      <w:r>
        <w:rPr>
          <w:sz w:val="21"/>
          <w:szCs w:val="21"/>
        </w:rPr>
        <w:t>в периоды резких похолоданий и при возникновении аварийной ситуации в соответствии с графиком утвержденным региональным органом власти;</w:t>
      </w:r>
    </w:p>
    <w:p>
      <w:pPr>
        <w:pStyle w:val="Normal"/>
        <w:widowControl w:val="false"/>
        <w:ind w:firstLine="567" w:right="14"/>
        <w:jc w:val="both"/>
        <w:rPr>
          <w:sz w:val="21"/>
          <w:szCs w:val="21"/>
        </w:rPr>
      </w:pPr>
      <w:r>
        <w:rPr>
          <w:sz w:val="21"/>
          <w:szCs w:val="21"/>
        </w:rPr>
        <w:t xml:space="preserve">— </w:t>
      </w:r>
      <w:r>
        <w:rPr>
          <w:sz w:val="21"/>
          <w:szCs w:val="21"/>
        </w:rPr>
        <w:t>отсутствия телефонной диспетчерской связи между Сторонами;</w:t>
      </w:r>
    </w:p>
    <w:p>
      <w:pPr>
        <w:pStyle w:val="Normal"/>
        <w:widowControl w:val="false"/>
        <w:ind w:firstLine="567" w:right="14"/>
        <w:jc w:val="both"/>
        <w:rPr>
          <w:sz w:val="21"/>
          <w:szCs w:val="21"/>
        </w:rPr>
      </w:pPr>
      <w:r>
        <w:rPr>
          <w:sz w:val="21"/>
          <w:szCs w:val="21"/>
        </w:rPr>
        <w:t xml:space="preserve">— </w:t>
      </w:r>
      <w:r>
        <w:rPr>
          <w:sz w:val="21"/>
          <w:szCs w:val="21"/>
        </w:rPr>
        <w:t>наличия форс-мажорных обстоятельств, препятствующих выполнению ГРО своих обязательств;</w:t>
      </w:r>
    </w:p>
    <w:p>
      <w:pPr>
        <w:pStyle w:val="Normal"/>
        <w:widowControl w:val="false"/>
        <w:ind w:firstLine="567" w:right="14"/>
        <w:jc w:val="both"/>
        <w:rPr>
          <w:sz w:val="21"/>
          <w:szCs w:val="21"/>
        </w:rPr>
      </w:pPr>
      <w:r>
        <w:rPr>
          <w:sz w:val="21"/>
          <w:szCs w:val="21"/>
        </w:rPr>
        <w:t xml:space="preserve">— </w:t>
      </w:r>
      <w:r>
        <w:rPr>
          <w:sz w:val="21"/>
          <w:szCs w:val="21"/>
        </w:rPr>
        <w:t>получения предписания органов контроля за безопасностью использования газа о неудовлетворительном состоянии газоиспользующих установок Потребителя, создающих аварийную ситуацию и угрозу для жизни обслуживающего персонала и населения;</w:t>
      </w:r>
    </w:p>
    <w:p>
      <w:pPr>
        <w:pStyle w:val="Normal"/>
        <w:widowControl w:val="false"/>
        <w:ind w:firstLine="567" w:right="14"/>
        <w:jc w:val="both"/>
        <w:rPr>
          <w:sz w:val="21"/>
          <w:szCs w:val="21"/>
        </w:rPr>
      </w:pPr>
      <w:r>
        <w:rPr>
          <w:sz w:val="21"/>
          <w:szCs w:val="21"/>
        </w:rPr>
        <w:t xml:space="preserve">— </w:t>
      </w:r>
      <w:r>
        <w:rPr>
          <w:sz w:val="21"/>
          <w:szCs w:val="21"/>
        </w:rPr>
        <w:t>неустранения недостатков в использовании газа в сроки, установленные органами Федеральной службы по экологическому, технологическому и атомному надзору.</w:t>
      </w:r>
    </w:p>
    <w:p>
      <w:pPr>
        <w:pStyle w:val="Normal"/>
        <w:widowControl w:val="false"/>
        <w:tabs>
          <w:tab w:val="clear" w:pos="709"/>
          <w:tab w:val="left" w:pos="180" w:leader="none"/>
        </w:tabs>
        <w:ind w:firstLine="567" w:right="14"/>
        <w:jc w:val="both"/>
        <w:rPr>
          <w:sz w:val="21"/>
          <w:szCs w:val="21"/>
        </w:rPr>
      </w:pPr>
      <w:r>
        <w:rPr>
          <w:sz w:val="21"/>
          <w:szCs w:val="21"/>
        </w:rPr>
        <w:t>Решение о прекращении поставки газа действует до устранения обстоятельств, его вызвавших.</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7. Список работников ГРО и Потребителя, уполномоченных производить контроль</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 xml:space="preserve"> </w:t>
      </w:r>
      <w:r>
        <w:rPr>
          <w:b/>
          <w:color w:val="000000"/>
          <w:spacing w:val="2"/>
          <w:sz w:val="21"/>
          <w:szCs w:val="21"/>
        </w:rPr>
        <w:t>технического состояния узла учёта расхода газа.</w:t>
      </w:r>
    </w:p>
    <w:tbl>
      <w:tblPr>
        <w:tblW w:w="10220" w:type="dxa"/>
        <w:jc w:val="left"/>
        <w:tblInd w:w="-44" w:type="dxa"/>
        <w:tblLayout w:type="fixed"/>
        <w:tblCellMar>
          <w:top w:w="0" w:type="dxa"/>
          <w:left w:w="5" w:type="dxa"/>
          <w:bottom w:w="0" w:type="dxa"/>
          <w:right w:w="98" w:type="dxa"/>
        </w:tblCellMar>
        <w:tblLook w:firstRow="1" w:noVBand="1" w:lastRow="0" w:firstColumn="1" w:lastColumn="0" w:noHBand="0" w:val="04a0"/>
      </w:tblPr>
      <w:tblGrid>
        <w:gridCol w:w="2187"/>
        <w:gridCol w:w="3808"/>
        <w:gridCol w:w="4225"/>
      </w:tblGrid>
      <w:tr>
        <w:trPr/>
        <w:tc>
          <w:tcPr>
            <w:tcW w:w="21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r>
          </w:p>
        </w:tc>
        <w:tc>
          <w:tcPr>
            <w:tcW w:w="38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t>Ф.И.О.</w:t>
            </w:r>
          </w:p>
        </w:tc>
        <w:tc>
          <w:tcPr>
            <w:tcW w:w="42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t>Должность</w:t>
            </w:r>
          </w:p>
        </w:tc>
      </w:tr>
      <w:tr>
        <w:trPr/>
        <w:tc>
          <w:tcPr>
            <w:tcW w:w="21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val="false"/>
                <w:bCs w:val="false"/>
                <w:color w:val="000000"/>
                <w:sz w:val="20"/>
                <w:szCs w:val="20"/>
              </w:rPr>
            </w:pPr>
            <w:r>
              <w:rPr>
                <w:b w:val="false"/>
                <w:bCs w:val="false"/>
                <w:color w:val="000000"/>
                <w:sz w:val="20"/>
                <w:szCs w:val="20"/>
              </w:rPr>
              <w:t>От ГРО</w:t>
            </w:r>
          </w:p>
        </w:tc>
        <w:tc>
          <w:tcPr>
            <w:tcW w:w="38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Times New Roman" w:hAnsi="Times New Roman" w:eastAsia="Times New Roman" w:cs="Times New Roman"/>
                <w:b w:val="false"/>
                <w:bCs w:val="false"/>
                <w:color w:val="000000"/>
                <w:kern w:val="0"/>
                <w:sz w:val="20"/>
                <w:szCs w:val="20"/>
                <w:lang w:val="ru-RU" w:eastAsia="ru-RU" w:bidi="ar-SA"/>
              </w:rPr>
            </w:pPr>
            <w:r>
              <w:rPr>
                <w:rFonts w:eastAsia="Times New Roman" w:cs="Times New Roman"/>
                <w:b w:val="false"/>
                <w:bCs w:val="false"/>
                <w:color w:val="000000"/>
                <w:kern w:val="0"/>
                <w:sz w:val="20"/>
                <w:szCs w:val="20"/>
                <w:lang w:val="ru-RU" w:eastAsia="ru-RU" w:bidi="ar-SA"/>
              </w:rPr>
              <w:t>Гнетуленко Станислав Васильевич</w:t>
            </w:r>
          </w:p>
        </w:tc>
        <w:tc>
          <w:tcPr>
            <w:tcW w:w="42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Times New Roman" w:hAnsi="Times New Roman" w:eastAsia="Times New Roman" w:cs="Times New Roman"/>
                <w:b w:val="false"/>
                <w:bCs w:val="false"/>
                <w:color w:val="000000"/>
                <w:kern w:val="0"/>
                <w:sz w:val="20"/>
                <w:szCs w:val="20"/>
                <w:lang w:val="ru-RU" w:eastAsia="ru-RU" w:bidi="ar-SA"/>
              </w:rPr>
            </w:pPr>
            <w:r>
              <w:rPr>
                <w:rFonts w:eastAsia="Times New Roman" w:cs="Times New Roman"/>
                <w:b w:val="false"/>
                <w:bCs w:val="false"/>
                <w:color w:val="000000"/>
                <w:kern w:val="0"/>
                <w:sz w:val="20"/>
                <w:szCs w:val="20"/>
                <w:lang w:val="ru-RU" w:eastAsia="ru-RU" w:bidi="ar-SA"/>
              </w:rPr>
              <w:t>Инженер метролог</w:t>
            </w:r>
          </w:p>
        </w:tc>
      </w:tr>
      <w:tr>
        <w:trPr/>
        <w:tc>
          <w:tcPr>
            <w:tcW w:w="21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val="false"/>
                <w:bCs w:val="false"/>
                <w:color w:val="000000"/>
                <w:sz w:val="20"/>
                <w:szCs w:val="20"/>
              </w:rPr>
            </w:pPr>
            <w:r>
              <w:rPr>
                <w:b w:val="false"/>
                <w:bCs w:val="false"/>
                <w:color w:val="000000"/>
                <w:sz w:val="20"/>
                <w:szCs w:val="20"/>
              </w:rPr>
              <w:t>От  Потребителя</w:t>
            </w:r>
          </w:p>
        </w:tc>
        <w:tc>
          <w:tcPr>
            <w:tcW w:w="38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r>
          </w:p>
        </w:tc>
        <w:tc>
          <w:tcPr>
            <w:tcW w:w="42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r>
          </w:p>
        </w:tc>
      </w:tr>
    </w:tbl>
    <w:p>
      <w:pPr>
        <w:pStyle w:val="Normal"/>
        <w:shd w:val="clear" w:color="auto" w:fill="FFFFFF"/>
        <w:tabs>
          <w:tab w:val="clear" w:pos="709"/>
          <w:tab w:val="left" w:pos="432" w:leader="none"/>
        </w:tabs>
        <w:ind w:firstLine="567" w:right="14"/>
        <w:jc w:val="both"/>
        <w:rPr>
          <w:sz w:val="21"/>
          <w:szCs w:val="21"/>
        </w:rPr>
      </w:pPr>
      <w:r>
        <w:rPr>
          <w:color w:val="000000"/>
          <w:spacing w:val="2"/>
          <w:sz w:val="21"/>
          <w:szCs w:val="21"/>
        </w:rPr>
        <w:t>В случае смены указанных работников – полномочия по контролю технического состояния узла учёта расхода газа передаются работнику, занимающему указанную в списке должность.</w:t>
      </w:r>
    </w:p>
    <w:p>
      <w:pPr>
        <w:pStyle w:val="Normal"/>
        <w:shd w:val="clear" w:color="auto" w:fill="FFFFFF"/>
        <w:ind w:hanging="0" w:right="14"/>
        <w:jc w:val="center"/>
        <w:rPr>
          <w:sz w:val="21"/>
          <w:szCs w:val="21"/>
        </w:rPr>
      </w:pPr>
      <w:r>
        <w:rPr>
          <w:b/>
          <w:bCs/>
          <w:color w:val="000000"/>
          <w:spacing w:val="-2"/>
          <w:sz w:val="21"/>
          <w:szCs w:val="21"/>
        </w:rPr>
        <w:t>8. Ответственность Сторон.</w:t>
      </w:r>
    </w:p>
    <w:p>
      <w:pPr>
        <w:pStyle w:val="Normal"/>
        <w:shd w:val="clear" w:color="auto" w:fill="FFFFFF"/>
        <w:ind w:firstLine="567" w:right="14"/>
        <w:jc w:val="both"/>
        <w:rPr>
          <w:sz w:val="21"/>
          <w:szCs w:val="21"/>
        </w:rPr>
      </w:pPr>
      <w:r>
        <w:rPr>
          <w:color w:val="000000"/>
          <w:spacing w:val="-3"/>
          <w:sz w:val="21"/>
          <w:szCs w:val="21"/>
        </w:rPr>
        <w:t xml:space="preserve">8.1. В случае неисполнения или ненадлежащего исполнения обязательств по настоящему Договору Стороны несут </w:t>
      </w:r>
      <w:r>
        <w:rPr>
          <w:color w:val="000000"/>
          <w:sz w:val="21"/>
          <w:szCs w:val="21"/>
        </w:rPr>
        <w:t>ответственность в соответствии с действующим законодательством Российской Федерации.</w:t>
      </w:r>
    </w:p>
    <w:p>
      <w:pPr>
        <w:pStyle w:val="Normal"/>
        <w:shd w:val="clear" w:color="auto" w:fill="FFFFFF"/>
        <w:ind w:firstLine="567" w:right="14"/>
        <w:jc w:val="both"/>
        <w:rPr>
          <w:sz w:val="21"/>
          <w:szCs w:val="21"/>
        </w:rPr>
      </w:pPr>
      <w:r>
        <w:rPr>
          <w:sz w:val="21"/>
          <w:szCs w:val="21"/>
        </w:rPr>
        <w:t>8.2. Досрочное расторжение настоящего Договора возможно по соглашению Сторон и в иных случаях, предусмотренных законодательством РФ.</w:t>
      </w:r>
    </w:p>
    <w:p>
      <w:pPr>
        <w:pStyle w:val="Normal"/>
        <w:shd w:val="clear" w:color="auto" w:fill="FFFFFF"/>
        <w:ind w:hanging="0" w:right="14"/>
        <w:jc w:val="center"/>
        <w:rPr>
          <w:sz w:val="21"/>
          <w:szCs w:val="21"/>
        </w:rPr>
      </w:pPr>
      <w:r>
        <w:rPr>
          <w:b/>
          <w:bCs/>
          <w:color w:val="000000"/>
          <w:spacing w:val="-5"/>
          <w:sz w:val="21"/>
          <w:szCs w:val="21"/>
        </w:rPr>
        <w:t>9. Порядок рассмотрения споров.</w:t>
      </w:r>
    </w:p>
    <w:p>
      <w:pPr>
        <w:pStyle w:val="BodyText3"/>
        <w:ind w:firstLine="567" w:right="14"/>
        <w:jc w:val="both"/>
        <w:rPr>
          <w:sz w:val="21"/>
          <w:szCs w:val="21"/>
        </w:rPr>
      </w:pPr>
      <w:r>
        <w:rPr>
          <w:color w:val="000000"/>
          <w:spacing w:val="2"/>
          <w:sz w:val="21"/>
          <w:szCs w:val="21"/>
        </w:rPr>
        <w:t xml:space="preserve">9.1. </w:t>
      </w:r>
      <w:r>
        <w:rPr>
          <w:color w:val="000000"/>
          <w:spacing w:val="7"/>
          <w:sz w:val="21"/>
          <w:szCs w:val="21"/>
        </w:rPr>
        <w:t>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(требования).</w:t>
      </w:r>
      <w:r>
        <w:rPr>
          <w:color w:val="000000"/>
          <w:spacing w:val="1"/>
          <w:sz w:val="21"/>
          <w:szCs w:val="21"/>
        </w:rPr>
        <w:t xml:space="preserve"> </w:t>
      </w:r>
    </w:p>
    <w:p>
      <w:pPr>
        <w:pStyle w:val="Normal"/>
        <w:shd w:val="clear" w:color="auto" w:fill="FFFFFF"/>
        <w:ind w:hanging="0" w:right="14"/>
        <w:jc w:val="center"/>
        <w:rPr>
          <w:sz w:val="21"/>
          <w:szCs w:val="21"/>
        </w:rPr>
      </w:pPr>
      <w:r>
        <w:rPr>
          <w:b/>
          <w:color w:val="000000"/>
          <w:sz w:val="21"/>
          <w:szCs w:val="21"/>
        </w:rPr>
        <w:t>10. Срок действия Договора.</w:t>
      </w:r>
    </w:p>
    <w:p>
      <w:pPr>
        <w:pStyle w:val="Normal"/>
        <w:shd w:val="clear" w:color="auto" w:fill="FFFFFF"/>
        <w:tabs>
          <w:tab w:val="clear" w:pos="709"/>
          <w:tab w:val="left" w:pos="456" w:leader="none"/>
        </w:tabs>
        <w:ind w:firstLine="567" w:right="14"/>
        <w:jc w:val="both"/>
        <w:rPr>
          <w:sz w:val="21"/>
          <w:szCs w:val="21"/>
        </w:rPr>
      </w:pPr>
      <w:r>
        <w:rPr>
          <w:color w:val="000000"/>
          <w:spacing w:val="-2"/>
          <w:sz w:val="21"/>
          <w:szCs w:val="21"/>
        </w:rPr>
        <w:t xml:space="preserve">10.1. </w:t>
      </w:r>
      <w:r>
        <w:rPr>
          <w:spacing w:val="-2"/>
          <w:sz w:val="21"/>
          <w:szCs w:val="21"/>
        </w:rPr>
        <w:t>Настоящий Договор вступает в силу с момента его подписания Сторонами и действует по 31.12.2024г., а по расчетам до полного завершения Сторонами своих обязательств. Положения настоящего Договора распространяются на правоотношения Сторон, возникшие с 01.01.2024 года.</w:t>
      </w:r>
    </w:p>
    <w:p>
      <w:pPr>
        <w:pStyle w:val="Normal"/>
        <w:shd w:val="clear" w:color="auto" w:fill="FFFFFF"/>
        <w:tabs>
          <w:tab w:val="clear" w:pos="709"/>
          <w:tab w:val="left" w:pos="456" w:leader="none"/>
        </w:tabs>
        <w:ind w:firstLine="567" w:right="14"/>
        <w:jc w:val="both"/>
        <w:rPr>
          <w:sz w:val="21"/>
          <w:szCs w:val="21"/>
        </w:rPr>
      </w:pPr>
      <w:r>
        <w:rPr>
          <w:color w:val="000000"/>
          <w:spacing w:val="-3"/>
          <w:sz w:val="21"/>
          <w:szCs w:val="21"/>
        </w:rPr>
        <w:t>10.2. Стороны имеют преимущественное право на заключение Договора на новый срок.</w:t>
      </w:r>
    </w:p>
    <w:p>
      <w:pPr>
        <w:pStyle w:val="Normal"/>
        <w:shd w:val="clear" w:color="auto" w:fill="FFFFFF"/>
        <w:tabs>
          <w:tab w:val="clear" w:pos="709"/>
          <w:tab w:val="left" w:pos="4564" w:leader="none"/>
        </w:tabs>
        <w:ind w:hanging="0" w:right="14"/>
        <w:jc w:val="center"/>
        <w:rPr>
          <w:sz w:val="21"/>
          <w:szCs w:val="21"/>
        </w:rPr>
      </w:pPr>
      <w:r>
        <w:rPr>
          <w:b/>
          <w:bCs/>
          <w:color w:val="000000"/>
          <w:sz w:val="21"/>
          <w:szCs w:val="21"/>
        </w:rPr>
        <w:t>11. Прочие условия.</w:t>
      </w:r>
    </w:p>
    <w:p>
      <w:pPr>
        <w:pStyle w:val="Normal"/>
        <w:shd w:val="clear" w:color="auto" w:fill="FFFFFF"/>
        <w:tabs>
          <w:tab w:val="clear" w:pos="709"/>
          <w:tab w:val="left" w:pos="4564" w:leader="none"/>
        </w:tabs>
        <w:ind w:firstLine="567" w:right="14"/>
        <w:jc w:val="both"/>
        <w:rPr>
          <w:sz w:val="21"/>
          <w:szCs w:val="21"/>
        </w:rPr>
      </w:pPr>
      <w:r>
        <w:rPr>
          <w:iCs/>
          <w:color w:val="000000"/>
          <w:spacing w:val="-2"/>
          <w:sz w:val="21"/>
          <w:szCs w:val="21"/>
        </w:rPr>
        <w:t>11.1.</w:t>
      </w:r>
      <w:r>
        <w:rPr>
          <w:i/>
          <w:iCs/>
          <w:color w:val="000000"/>
          <w:spacing w:val="-2"/>
          <w:sz w:val="21"/>
          <w:szCs w:val="21"/>
        </w:rPr>
        <w:t xml:space="preserve"> </w:t>
      </w:r>
      <w:r>
        <w:rPr>
          <w:color w:val="000000"/>
          <w:spacing w:val="-2"/>
          <w:sz w:val="21"/>
          <w:szCs w:val="21"/>
        </w:rPr>
        <w:t xml:space="preserve">Настоящий Договор носит конфиденциальный характер и не подлежит разглашению организациям или лицам, </w:t>
      </w:r>
      <w:r>
        <w:rPr>
          <w:color w:val="000000"/>
          <w:spacing w:val="-3"/>
          <w:sz w:val="21"/>
          <w:szCs w:val="21"/>
        </w:rPr>
        <w:t>не связанным с выполнением данного</w:t>
      </w:r>
      <w:r>
        <w:rPr>
          <w:color w:val="000000"/>
          <w:spacing w:val="-2"/>
          <w:sz w:val="21"/>
          <w:szCs w:val="21"/>
        </w:rPr>
        <w:t xml:space="preserve"> Договора</w:t>
      </w:r>
      <w:r>
        <w:rPr>
          <w:color w:val="000000"/>
          <w:spacing w:val="-3"/>
          <w:sz w:val="21"/>
          <w:szCs w:val="21"/>
        </w:rPr>
        <w:t>, за исключением случаев, установленных законом.</w:t>
      </w:r>
    </w:p>
    <w:p>
      <w:pPr>
        <w:pStyle w:val="Normal"/>
        <w:shd w:val="clear" w:color="auto" w:fill="FFFFFF"/>
        <w:tabs>
          <w:tab w:val="clear" w:pos="709"/>
          <w:tab w:val="left" w:pos="475" w:leader="none"/>
          <w:tab w:val="left" w:pos="4564" w:leader="none"/>
        </w:tabs>
        <w:ind w:firstLine="567" w:right="14"/>
        <w:jc w:val="both"/>
        <w:rPr>
          <w:sz w:val="21"/>
          <w:szCs w:val="21"/>
        </w:rPr>
      </w:pPr>
      <w:r>
        <w:rPr>
          <w:color w:val="000000"/>
          <w:spacing w:val="-7"/>
          <w:sz w:val="21"/>
          <w:szCs w:val="21"/>
        </w:rPr>
        <w:t xml:space="preserve">11.2. </w:t>
      </w:r>
      <w:r>
        <w:rPr>
          <w:color w:val="000000"/>
          <w:spacing w:val="-1"/>
          <w:sz w:val="21"/>
          <w:szCs w:val="21"/>
        </w:rPr>
        <w:t>Все изменения и дополнения к настоящему Д</w:t>
      </w:r>
      <w:r>
        <w:rPr>
          <w:color w:val="000000"/>
          <w:spacing w:val="-2"/>
          <w:sz w:val="21"/>
          <w:szCs w:val="21"/>
        </w:rPr>
        <w:t>оговору</w:t>
      </w:r>
      <w:r>
        <w:rPr>
          <w:color w:val="000000"/>
          <w:spacing w:val="-1"/>
          <w:sz w:val="21"/>
          <w:szCs w:val="21"/>
        </w:rPr>
        <w:t xml:space="preserve"> должны быть подписаны уполномоченными  </w:t>
      </w:r>
      <w:r>
        <w:rPr>
          <w:color w:val="000000"/>
          <w:spacing w:val="-4"/>
          <w:sz w:val="21"/>
          <w:szCs w:val="21"/>
        </w:rPr>
        <w:t>представителями Сторон.</w:t>
      </w:r>
    </w:p>
    <w:p>
      <w:pPr>
        <w:pStyle w:val="Normal"/>
        <w:shd w:val="clear" w:color="auto" w:fill="FFFFFF"/>
        <w:tabs>
          <w:tab w:val="clear" w:pos="709"/>
          <w:tab w:val="left" w:pos="403" w:leader="none"/>
          <w:tab w:val="left" w:pos="4564" w:leader="none"/>
        </w:tabs>
        <w:ind w:firstLine="567" w:right="14"/>
        <w:jc w:val="both"/>
        <w:rPr>
          <w:sz w:val="21"/>
          <w:szCs w:val="21"/>
        </w:rPr>
      </w:pPr>
      <w:r>
        <w:rPr>
          <w:color w:val="000000"/>
          <w:spacing w:val="-7"/>
          <w:sz w:val="21"/>
          <w:szCs w:val="21"/>
        </w:rPr>
        <w:t xml:space="preserve">11.3. </w:t>
      </w:r>
      <w:r>
        <w:rPr>
          <w:color w:val="000000"/>
          <w:spacing w:val="1"/>
          <w:sz w:val="21"/>
          <w:szCs w:val="21"/>
        </w:rPr>
        <w:t xml:space="preserve">При изменении почтовых и банковских реквизитов, а также в случае реорганизации, Стороны обязуются в </w:t>
      </w:r>
      <w:r>
        <w:rPr>
          <w:color w:val="000000"/>
          <w:spacing w:val="-3"/>
          <w:sz w:val="21"/>
          <w:szCs w:val="21"/>
        </w:rPr>
        <w:t>десятидневный срок извещать друг друга о происшедших изменениях.</w:t>
      </w:r>
    </w:p>
    <w:p>
      <w:pPr>
        <w:pStyle w:val="Normal"/>
        <w:shd w:val="clear" w:color="auto" w:fill="FFFFFF"/>
        <w:tabs>
          <w:tab w:val="clear" w:pos="709"/>
          <w:tab w:val="left" w:pos="4564" w:leader="none"/>
        </w:tabs>
        <w:ind w:hanging="0" w:right="14"/>
        <w:jc w:val="center"/>
        <w:rPr>
          <w:sz w:val="21"/>
          <w:szCs w:val="21"/>
        </w:rPr>
      </w:pPr>
      <w:r>
        <w:rPr>
          <w:b/>
          <w:bCs/>
          <w:color w:val="000000"/>
          <w:spacing w:val="-1"/>
          <w:sz w:val="21"/>
          <w:szCs w:val="21"/>
        </w:rPr>
        <w:t>12. Адреса и реквизиты Сторон.</w:t>
      </w:r>
    </w:p>
    <w:p>
      <w:pPr>
        <w:pStyle w:val="Normal"/>
        <w:widowControl w:val="false"/>
        <w:shd w:val="clear" w:color="auto" w:fill="FFFFFF"/>
        <w:tabs>
          <w:tab w:val="clear" w:pos="709"/>
          <w:tab w:val="left" w:pos="4564" w:leader="none"/>
        </w:tabs>
        <w:suppressAutoHyphens w:val="true"/>
        <w:bidi w:val="0"/>
        <w:ind w:firstLine="567" w:left="0" w:right="0"/>
        <w:jc w:val="left"/>
        <w:rPr>
          <w:sz w:val="21"/>
          <w:szCs w:val="21"/>
        </w:rPr>
      </w:pPr>
      <w:r>
        <w:rPr>
          <w:b/>
          <w:bCs w:val="false"/>
          <w:color w:val="000000"/>
          <w:spacing w:val="-1"/>
          <w:sz w:val="21"/>
          <w:szCs w:val="21"/>
        </w:rPr>
        <w:t>Г</w:t>
      </w:r>
      <w:r>
        <w:rPr>
          <w:b/>
          <w:color w:val="000000"/>
          <w:spacing w:val="-1"/>
          <w:sz w:val="21"/>
          <w:szCs w:val="21"/>
        </w:rPr>
        <w:t>РО:</w:t>
      </w:r>
      <w:r>
        <w:rPr>
          <w:color w:val="000000"/>
          <w:spacing w:val="-1"/>
          <w:sz w:val="21"/>
          <w:szCs w:val="21"/>
        </w:rPr>
        <w:t xml:space="preserve"> </w:t>
      </w:r>
      <w:r>
        <w:rPr>
          <w:color w:val="000000"/>
          <w:spacing w:val="1"/>
          <w:sz w:val="21"/>
          <w:szCs w:val="21"/>
        </w:rPr>
        <w:t>Акционерное общество «Омскгазстройэксплуатация» (АО «Омскгазстройэксплуатация»)</w:t>
      </w:r>
    </w:p>
    <w:p>
      <w:pPr>
        <w:pStyle w:val="Normal"/>
        <w:shd w:fill="FFFFFF"/>
        <w:tabs>
          <w:tab w:val="clear" w:pos="709"/>
          <w:tab w:val="left" w:pos="4564" w:leader="none"/>
        </w:tabs>
        <w:ind w:hanging="0" w:left="0" w:right="14"/>
        <w:jc w:val="both"/>
        <w:rPr>
          <w:sz w:val="21"/>
          <w:szCs w:val="21"/>
        </w:rPr>
      </w:pPr>
      <w:r>
        <w:rPr>
          <w:spacing w:val="1"/>
          <w:sz w:val="21"/>
          <w:szCs w:val="21"/>
        </w:rPr>
        <w:t>Юридический адрес: 644508, Омская область, Омский район, с. Розовка, ул. Сергея Лазо, д. 5В</w:t>
      </w:r>
    </w:p>
    <w:p>
      <w:pPr>
        <w:pStyle w:val="Normal"/>
        <w:shd w:fill="FFFFFF"/>
        <w:tabs>
          <w:tab w:val="clear" w:pos="709"/>
          <w:tab w:val="left" w:pos="4564" w:leader="none"/>
        </w:tabs>
        <w:ind w:hanging="0" w:left="0" w:right="14"/>
        <w:jc w:val="both"/>
        <w:rPr>
          <w:sz w:val="21"/>
          <w:szCs w:val="21"/>
        </w:rPr>
      </w:pPr>
      <w:r>
        <w:rPr>
          <w:color w:val="000000"/>
          <w:spacing w:val="1"/>
          <w:sz w:val="21"/>
          <w:szCs w:val="21"/>
        </w:rPr>
        <w:t>Почтовый адрес:</w:t>
      </w:r>
      <w:r>
        <w:rPr>
          <w:color w:val="000000"/>
          <w:spacing w:val="-1"/>
          <w:sz w:val="21"/>
          <w:szCs w:val="21"/>
        </w:rPr>
        <w:t xml:space="preserve"> 644122, г. Омск, ул.  5-я Северная, 8а. Тел. (3812) 66-49-59</w:t>
      </w:r>
    </w:p>
    <w:p>
      <w:pPr>
        <w:pStyle w:val="Normal"/>
        <w:shd w:fill="FFFFFF"/>
        <w:tabs>
          <w:tab w:val="clear" w:pos="709"/>
          <w:tab w:val="left" w:pos="4564" w:leader="none"/>
        </w:tabs>
        <w:ind w:hanging="0" w:left="0" w:right="14"/>
        <w:jc w:val="both"/>
        <w:rPr>
          <w:sz w:val="21"/>
          <w:szCs w:val="21"/>
        </w:rPr>
      </w:pPr>
      <w:r>
        <w:rPr>
          <w:color w:val="000000"/>
          <w:spacing w:val="-1"/>
          <w:sz w:val="21"/>
          <w:szCs w:val="21"/>
        </w:rPr>
        <w:t>ИНН / КПП 5528201579 / 552801001, ОКПО 56416675, ОКВЭД 35.22, ОГРН 1085543024599</w:t>
      </w:r>
    </w:p>
    <w:p>
      <w:pPr>
        <w:pStyle w:val="Normal"/>
        <w:shd w:fill="FFFFFF"/>
        <w:tabs>
          <w:tab w:val="clear" w:pos="709"/>
          <w:tab w:val="left" w:pos="4564" w:leader="none"/>
        </w:tabs>
        <w:ind w:hanging="0" w:left="0" w:right="14"/>
        <w:jc w:val="both"/>
        <w:rPr>
          <w:sz w:val="21"/>
          <w:szCs w:val="21"/>
        </w:rPr>
      </w:pPr>
      <w:r>
        <w:rPr>
          <w:color w:val="000000"/>
          <w:spacing w:val="4"/>
          <w:sz w:val="21"/>
          <w:szCs w:val="21"/>
        </w:rPr>
        <w:t>р/с 40702810100000030586 Банк ГПБ (АО) г. Москва</w:t>
      </w:r>
    </w:p>
    <w:p>
      <w:pPr>
        <w:pStyle w:val="Normal"/>
        <w:widowControl w:val="false"/>
        <w:shd w:val="clear" w:color="auto" w:fill="FFFFFF"/>
        <w:tabs>
          <w:tab w:val="clear" w:pos="709"/>
          <w:tab w:val="left" w:pos="4564" w:leader="none"/>
        </w:tabs>
        <w:suppressAutoHyphens w:val="true"/>
        <w:bidi w:val="0"/>
        <w:ind w:hanging="0" w:left="0" w:right="0"/>
        <w:jc w:val="left"/>
        <w:rPr>
          <w:sz w:val="21"/>
          <w:szCs w:val="21"/>
        </w:rPr>
      </w:pPr>
      <w:r>
        <w:rPr>
          <w:color w:val="000000"/>
          <w:spacing w:val="4"/>
          <w:sz w:val="21"/>
          <w:szCs w:val="21"/>
        </w:rPr>
        <w:t>к/с 30101810200000000823, БИК 044525823</w:t>
      </w:r>
    </w:p>
    <w:p>
      <w:pPr>
        <w:pStyle w:val="Normal"/>
        <w:widowControl w:val="false"/>
        <w:shd w:val="clear" w:color="auto" w:fill="FFFFFF"/>
        <w:tabs>
          <w:tab w:val="clear" w:pos="709"/>
          <w:tab w:val="left" w:pos="4564" w:leader="none"/>
        </w:tabs>
        <w:suppressAutoHyphens w:val="true"/>
        <w:bidi w:val="0"/>
        <w:ind w:firstLine="567" w:left="0" w:right="0"/>
        <w:jc w:val="left"/>
        <w:rPr>
          <w:sz w:val="21"/>
          <w:szCs w:val="21"/>
        </w:rPr>
      </w:pPr>
      <w:r>
        <w:rPr>
          <w:b/>
          <w:color w:val="000000"/>
          <w:spacing w:val="1"/>
          <w:sz w:val="21"/>
          <w:szCs w:val="21"/>
        </w:rPr>
        <w:t>Потребитель:</w:t>
      </w:r>
      <w:r>
        <w:rPr>
          <w:b/>
          <w:color w:val="000000"/>
          <w:spacing w:val="2"/>
          <w:sz w:val="21"/>
          <w:szCs w:val="21"/>
        </w:rPr>
        <w:t xml:space="preserve"> </w:t>
      </w:r>
      <w:r>
        <w:rPr>
          <w:b w:val="false"/>
          <w:bCs w:val="false"/>
          <w:color w:val="000000"/>
          <w:spacing w:val="2"/>
          <w:sz w:val="21"/>
          <w:szCs w:val="21"/>
        </w:rPr>
        <w:t>Общество с ограниченной ответственностью «_______________________»</w:t>
      </w:r>
    </w:p>
    <w:p>
      <w:pPr>
        <w:pStyle w:val="Normal"/>
        <w:shd w:val="clear" w:color="auto" w:fill="FFFFFF"/>
        <w:tabs>
          <w:tab w:val="clear" w:pos="709"/>
          <w:tab w:val="left" w:pos="4564" w:leader="none"/>
        </w:tabs>
        <w:ind w:hanging="0" w:right="14"/>
        <w:rPr>
          <w:sz w:val="21"/>
          <w:szCs w:val="21"/>
        </w:rPr>
      </w:pPr>
      <w:r>
        <w:rPr>
          <w:spacing w:val="1"/>
          <w:sz w:val="21"/>
          <w:szCs w:val="21"/>
        </w:rPr>
        <w:t xml:space="preserve">Юридический адрес: </w:t>
      </w:r>
      <w:r>
        <w:rPr>
          <w:color w:val="000000"/>
          <w:spacing w:val="-1"/>
          <w:sz w:val="21"/>
          <w:szCs w:val="21"/>
        </w:rPr>
        <w:t>_________________________________________</w:t>
      </w:r>
    </w:p>
    <w:p>
      <w:pPr>
        <w:pStyle w:val="Normal"/>
        <w:shd w:val="clear" w:color="auto" w:fill="FFFFFF"/>
        <w:tabs>
          <w:tab w:val="clear" w:pos="709"/>
          <w:tab w:val="left" w:pos="4564" w:leader="none"/>
        </w:tabs>
        <w:ind w:hanging="0" w:right="14"/>
        <w:rPr>
          <w:sz w:val="21"/>
          <w:szCs w:val="21"/>
        </w:rPr>
      </w:pPr>
      <w:r>
        <w:rPr>
          <w:color w:val="000000"/>
          <w:spacing w:val="-1"/>
          <w:sz w:val="21"/>
          <w:szCs w:val="21"/>
        </w:rPr>
        <w:t xml:space="preserve">ИНН </w:t>
      </w:r>
      <w:r>
        <w:rPr>
          <w:rFonts w:eastAsia="Times New Roman" w:cs="Times New Roman"/>
          <w:color w:val="000000"/>
          <w:spacing w:val="-1"/>
          <w:kern w:val="0"/>
          <w:sz w:val="21"/>
          <w:szCs w:val="21"/>
          <w:lang w:val="ru-RU" w:eastAsia="ru-RU" w:bidi="ar-SA"/>
        </w:rPr>
        <w:t>___________</w:t>
      </w:r>
      <w:r>
        <w:rPr>
          <w:color w:val="000000"/>
          <w:spacing w:val="-1"/>
          <w:sz w:val="21"/>
          <w:szCs w:val="21"/>
        </w:rPr>
        <w:t xml:space="preserve">, КПП </w:t>
      </w:r>
      <w:r>
        <w:rPr>
          <w:rFonts w:eastAsia="Times New Roman" w:cs="Times New Roman"/>
          <w:color w:val="000000"/>
          <w:spacing w:val="-1"/>
          <w:kern w:val="0"/>
          <w:sz w:val="21"/>
          <w:szCs w:val="21"/>
          <w:lang w:val="ru-RU" w:eastAsia="ru-RU" w:bidi="ar-SA"/>
        </w:rPr>
        <w:t>___________</w:t>
      </w:r>
      <w:r>
        <w:rPr>
          <w:color w:val="000000"/>
          <w:spacing w:val="-1"/>
          <w:sz w:val="21"/>
          <w:szCs w:val="21"/>
        </w:rPr>
        <w:t xml:space="preserve">, </w:t>
      </w:r>
      <w:r>
        <w:rPr>
          <w:color w:val="000000"/>
          <w:spacing w:val="1"/>
          <w:sz w:val="21"/>
          <w:szCs w:val="21"/>
        </w:rPr>
        <w:t>ОКПО ___________, ОГРН _________________</w:t>
      </w:r>
    </w:p>
    <w:p>
      <w:pPr>
        <w:pStyle w:val="Normal"/>
        <w:widowControl w:val="false"/>
        <w:shd w:val="clear" w:color="auto" w:fill="FFFFFF"/>
        <w:tabs>
          <w:tab w:val="clear" w:pos="709"/>
          <w:tab w:val="left" w:pos="4564" w:leader="none"/>
        </w:tabs>
        <w:suppressAutoHyphens w:val="true"/>
        <w:bidi w:val="0"/>
        <w:ind w:hanging="0" w:left="0" w:right="0"/>
        <w:jc w:val="left"/>
        <w:rPr>
          <w:sz w:val="21"/>
          <w:szCs w:val="21"/>
        </w:rPr>
      </w:pPr>
      <w:r>
        <w:rPr>
          <w:b w:val="false"/>
          <w:bCs w:val="false"/>
          <w:color w:val="000000"/>
          <w:spacing w:val="1"/>
          <w:sz w:val="21"/>
          <w:szCs w:val="21"/>
        </w:rPr>
        <w:t xml:space="preserve">р/с </w:t>
      </w:r>
    </w:p>
    <w:p>
      <w:pPr>
        <w:pStyle w:val="Normal"/>
        <w:widowControl w:val="false"/>
        <w:shd w:val="clear" w:color="auto" w:fill="FFFFFF"/>
        <w:tabs>
          <w:tab w:val="clear" w:pos="709"/>
          <w:tab w:val="left" w:pos="4564" w:leader="none"/>
        </w:tabs>
        <w:suppressAutoHyphens w:val="true"/>
        <w:bidi w:val="0"/>
        <w:ind w:hanging="0" w:left="0" w:right="0"/>
        <w:jc w:val="left"/>
        <w:rPr>
          <w:sz w:val="21"/>
          <w:szCs w:val="21"/>
        </w:rPr>
      </w:pPr>
      <w:r>
        <w:rPr>
          <w:rFonts w:eastAsia="Times New Roman" w:cs="Times New Roman"/>
          <w:b w:val="false"/>
          <w:bCs w:val="false"/>
          <w:color w:val="000000"/>
          <w:spacing w:val="1"/>
          <w:kern w:val="0"/>
          <w:sz w:val="21"/>
          <w:szCs w:val="21"/>
          <w:lang w:val="ru-RU" w:eastAsia="ru-RU" w:bidi="ar-SA"/>
        </w:rPr>
        <w:t xml:space="preserve">к/с </w:t>
      </w:r>
    </w:p>
    <w:p>
      <w:pPr>
        <w:pStyle w:val="Normal"/>
        <w:widowControl w:val="false"/>
        <w:shd w:val="clear" w:color="auto" w:fill="FFFFFF"/>
        <w:tabs>
          <w:tab w:val="clear" w:pos="709"/>
          <w:tab w:val="left" w:pos="4564" w:leader="none"/>
        </w:tabs>
        <w:suppressAutoHyphens w:val="true"/>
        <w:bidi w:val="0"/>
        <w:ind w:hanging="0" w:left="0" w:right="0"/>
        <w:jc w:val="left"/>
        <w:rPr>
          <w:sz w:val="21"/>
          <w:szCs w:val="21"/>
        </w:rPr>
      </w:pPr>
      <w:r>
        <w:rPr>
          <w:b w:val="false"/>
          <w:bCs w:val="false"/>
          <w:color w:val="000000"/>
          <w:spacing w:val="1"/>
          <w:sz w:val="21"/>
          <w:szCs w:val="21"/>
        </w:rPr>
        <w:t xml:space="preserve">БИК </w:t>
      </w:r>
    </w:p>
    <w:p>
      <w:pPr>
        <w:pStyle w:val="Normal"/>
        <w:shd w:val="clear" w:color="auto" w:fill="FFFFFF"/>
        <w:tabs>
          <w:tab w:val="clear" w:pos="709"/>
          <w:tab w:val="left" w:pos="4564" w:leader="none"/>
        </w:tabs>
        <w:ind w:hanging="0" w:right="14"/>
        <w:jc w:val="center"/>
        <w:rPr>
          <w:sz w:val="21"/>
          <w:szCs w:val="21"/>
        </w:rPr>
      </w:pPr>
      <w:r>
        <w:rPr>
          <w:b/>
          <w:color w:val="000000"/>
          <w:spacing w:val="1"/>
          <w:sz w:val="21"/>
          <w:szCs w:val="21"/>
        </w:rPr>
        <w:t>13. Подписи Сторон:</w:t>
      </w:r>
    </w:p>
    <w:p>
      <w:pPr>
        <w:pStyle w:val="Normal"/>
        <w:widowControl w:val="false"/>
        <w:shd w:val="clear" w:color="auto" w:fill="FFFFFF"/>
        <w:tabs>
          <w:tab w:val="clear" w:pos="709"/>
          <w:tab w:val="left" w:pos="4564" w:leader="none"/>
        </w:tabs>
        <w:suppressAutoHyphens w:val="true"/>
        <w:bidi w:val="0"/>
        <w:spacing w:before="0" w:after="0"/>
        <w:ind w:firstLine="567" w:left="0" w:right="0"/>
        <w:jc w:val="both"/>
        <w:rPr>
          <w:sz w:val="21"/>
          <w:szCs w:val="21"/>
        </w:rPr>
      </w:pPr>
      <w:r>
        <w:rPr>
          <w:b/>
          <w:color w:val="000000"/>
          <w:spacing w:val="1"/>
          <w:sz w:val="21"/>
          <w:szCs w:val="21"/>
        </w:rPr>
        <w:t>ГРО:</w:t>
        <w:tab/>
        <w:tab/>
        <w:t>Потребитель:</w:t>
      </w:r>
    </w:p>
    <w:p>
      <w:pPr>
        <w:pStyle w:val="Normal"/>
        <w:shd w:val="clear" w:color="auto" w:fill="FFFFFF"/>
        <w:tabs>
          <w:tab w:val="clear" w:pos="709"/>
          <w:tab w:val="left" w:pos="4564" w:leader="none"/>
        </w:tabs>
        <w:ind w:hanging="0" w:right="14"/>
        <w:jc w:val="both"/>
        <w:rPr>
          <w:b/>
          <w:color w:val="000000"/>
          <w:spacing w:val="1"/>
          <w:sz w:val="21"/>
          <w:szCs w:val="21"/>
        </w:rPr>
      </w:pPr>
      <w:r>
        <w:rPr>
          <w:b/>
          <w:color w:val="000000"/>
          <w:spacing w:val="1"/>
          <w:sz w:val="21"/>
          <w:szCs w:val="21"/>
        </w:rPr>
      </w:r>
    </w:p>
    <w:p>
      <w:pPr>
        <w:pStyle w:val="Normal"/>
        <w:shd w:val="clear" w:color="auto" w:fill="FFFFFF"/>
        <w:tabs>
          <w:tab w:val="clear" w:pos="709"/>
          <w:tab w:val="left" w:pos="4564" w:leader="none"/>
        </w:tabs>
        <w:ind w:hanging="0" w:right="14"/>
        <w:jc w:val="both"/>
        <w:rPr>
          <w:b/>
          <w:color w:val="000000"/>
          <w:spacing w:val="1"/>
          <w:sz w:val="21"/>
          <w:szCs w:val="21"/>
        </w:rPr>
      </w:pPr>
      <w:r>
        <w:rPr>
          <w:b/>
          <w:color w:val="000000"/>
          <w:spacing w:val="1"/>
          <w:sz w:val="21"/>
          <w:szCs w:val="21"/>
        </w:rPr>
      </w:r>
    </w:p>
    <w:p>
      <w:pPr>
        <w:pStyle w:val="Normal"/>
        <w:shd w:val="clear" w:color="auto" w:fill="FFFFFF"/>
        <w:tabs>
          <w:tab w:val="clear" w:pos="709"/>
          <w:tab w:val="left" w:pos="4564" w:leader="none"/>
        </w:tabs>
        <w:ind w:hanging="0" w:right="14"/>
        <w:jc w:val="both"/>
        <w:rPr>
          <w:sz w:val="21"/>
          <w:szCs w:val="21"/>
        </w:rPr>
      </w:pPr>
      <w:r>
        <w:rPr>
          <w:b/>
          <w:color w:val="000000"/>
          <w:spacing w:val="1"/>
          <w:sz w:val="21"/>
          <w:szCs w:val="21"/>
        </w:rPr>
        <w:t xml:space="preserve">          </w:t>
      </w:r>
      <w:r>
        <w:rPr>
          <w:b/>
          <w:color w:val="000000"/>
          <w:spacing w:val="1"/>
          <w:sz w:val="21"/>
          <w:szCs w:val="21"/>
          <w:u w:val="single"/>
        </w:rPr>
        <w:t>______________</w:t>
      </w:r>
      <w:r>
        <w:rPr>
          <w:b/>
          <w:color w:val="000000"/>
          <w:spacing w:val="1"/>
          <w:sz w:val="21"/>
          <w:szCs w:val="21"/>
        </w:rPr>
        <w:t xml:space="preserve"> </w:t>
      </w:r>
      <w:r>
        <w:rPr>
          <w:rFonts w:eastAsia="Times New Roman" w:cs="Times New Roman"/>
          <w:b w:val="false"/>
          <w:bCs w:val="false"/>
          <w:color w:val="000000"/>
          <w:spacing w:val="1"/>
          <w:kern w:val="0"/>
          <w:sz w:val="21"/>
          <w:szCs w:val="21"/>
          <w:lang w:val="ru-RU" w:eastAsia="ru-RU" w:bidi="ar-SA"/>
        </w:rPr>
        <w:t xml:space="preserve">                           </w:t>
      </w:r>
      <w:r>
        <w:rPr>
          <w:b/>
          <w:color w:val="000000"/>
          <w:spacing w:val="1"/>
          <w:sz w:val="21"/>
          <w:szCs w:val="21"/>
        </w:rPr>
        <w:t xml:space="preserve">                            </w:t>
      </w:r>
      <w:r>
        <w:rPr>
          <w:b/>
          <w:color w:val="000000"/>
          <w:spacing w:val="1"/>
          <w:sz w:val="21"/>
          <w:szCs w:val="21"/>
          <w:u w:val="single"/>
        </w:rPr>
        <w:t>______________</w:t>
      </w:r>
      <w:r>
        <w:rPr>
          <w:b/>
          <w:color w:val="000000"/>
          <w:spacing w:val="1"/>
          <w:sz w:val="21"/>
          <w:szCs w:val="21"/>
        </w:rPr>
        <w:t xml:space="preserve"> </w:t>
      </w:r>
    </w:p>
    <w:sectPr>
      <w:footerReference w:type="default" r:id="rId2"/>
      <w:type w:val="nextPage"/>
      <w:pgSz w:w="11906" w:h="16838"/>
      <w:pgMar w:left="907" w:right="567" w:gutter="0" w:header="0" w:top="340" w:footer="242" w:bottom="473"/>
      <w:pgNumType w:fmt="decimal"/>
      <w:formProt w:val="false"/>
      <w:textDirection w:val="lrTb"/>
      <w:docGrid w:type="default" w:linePitch="249"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0</w:t>
    </w:r>
    <w:r>
      <w:rPr/>
      <w:fldChar w:fldCharType="end"/>
    </w:r>
  </w:p>
</w:ft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571"/>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Heading1">
    <w:name w:val="Heading 1"/>
    <w:basedOn w:val="Normal"/>
    <w:qFormat/>
    <w:pPr>
      <w:keepNext w:val="true"/>
      <w:keepLines/>
      <w:spacing w:before="480" w:after="0"/>
      <w:outlineLvl w:val="0"/>
    </w:pPr>
    <w:rPr>
      <w:rFonts w:ascii="Cambria" w:hAnsi="Cambria" w:eastAsia="" w:cs="" w:asciiTheme="majorHAnsi" w:cstheme="majorBidi" w:eastAsiaTheme="majorEastAsia" w:hAnsiTheme="majorHAnsi"/>
      <w:b/>
      <w:bCs/>
      <w:color w:themeColor="accent1" w:themeShade="bf" w:val="365F91"/>
      <w:sz w:val="28"/>
      <w:szCs w:val="28"/>
    </w:rPr>
  </w:style>
  <w:style w:type="character" w:styleId="DefaultParagraphFont" w:default="1">
    <w:name w:val="Default Paragraph Font"/>
    <w:uiPriority w:val="1"/>
    <w:semiHidden/>
    <w:unhideWhenUsed/>
    <w:qFormat/>
    <w:rPr/>
  </w:style>
  <w:style w:type="character" w:styleId="1">
    <w:name w:val="Заголовок 1 Знак"/>
    <w:qFormat/>
    <w:rPr>
      <w:rFonts w:ascii="Cambria" w:hAnsi="Cambria" w:eastAsia="0"/>
      <w:b/>
      <w:bCs/>
      <w:color w:val="365F91"/>
      <w:sz w:val="28"/>
      <w:szCs w:val="28"/>
    </w:rPr>
  </w:style>
  <w:style w:type="character" w:styleId="11">
    <w:name w:val="Основной шрифт абзаца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2">
    <w:name w:val="Основной шрифт абзаца2"/>
    <w:qFormat/>
    <w:rPr/>
  </w:style>
  <w:style w:type="character" w:styleId="Style13">
    <w:name w:val="Основной шрифт абзаца"/>
    <w:qFormat/>
    <w:rPr/>
  </w:style>
  <w:style w:type="paragraph" w:styleId="Style14" w:customStyle="1">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Title" w:customStyle="1">
    <w:name w:val="Title"/>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BalloonText">
    <w:name w:val="Balloon Text"/>
    <w:basedOn w:val="Normal"/>
    <w:semiHidden/>
    <w:qFormat/>
    <w:rsid w:val="00ee4fee"/>
    <w:pPr/>
    <w:rPr>
      <w:rFonts w:ascii="Tahoma" w:hAnsi="Tahoma" w:cs="Tahoma"/>
      <w:sz w:val="16"/>
      <w:szCs w:val="16"/>
    </w:rPr>
  </w:style>
  <w:style w:type="paragraph" w:styleId="BodyText3">
    <w:name w:val="Body Text 3"/>
    <w:basedOn w:val="Normal"/>
    <w:qFormat/>
    <w:rsid w:val="00830bff"/>
    <w:pPr>
      <w:widowControl/>
    </w:pPr>
    <w:rPr>
      <w:sz w:val="24"/>
    </w:rPr>
  </w:style>
  <w:style w:type="paragraph" w:styleId="ConsPlusNonformat" w:customStyle="1">
    <w:name w:val="ConsPlusNonformat"/>
    <w:qFormat/>
    <w:rsid w:val="003e0f2e"/>
    <w:pPr>
      <w:widowControl/>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16" w:customStyle="1">
    <w:name w:val="Содержимое врезки"/>
    <w:basedOn w:val="Normal"/>
    <w:qFormat/>
    <w:pPr/>
    <w:rPr/>
  </w:style>
  <w:style w:type="paragraph" w:styleId="12">
    <w:name w:val="Название1"/>
    <w:basedOn w:val="Normal"/>
    <w:qFormat/>
    <w:pPr>
      <w:spacing w:before="120" w:after="120"/>
    </w:pPr>
    <w:rPr>
      <w:i/>
      <w:iCs/>
      <w:lang w:eastAsia="ar-SA"/>
    </w:rPr>
  </w:style>
  <w:style w:type="paragraph" w:styleId="Caption1">
    <w:name w:val="caption1"/>
    <w:basedOn w:val="Normal"/>
    <w:qFormat/>
    <w:pPr>
      <w:spacing w:before="120" w:after="120"/>
    </w:pPr>
    <w:rPr>
      <w:i/>
      <w:iCs/>
      <w:lang w:eastAsia="ar-SA"/>
    </w:rPr>
  </w:style>
  <w:style w:type="paragraph" w:styleId="Style17">
    <w:name w:val="Верхний и нижний колонтитулы"/>
    <w:basedOn w:val="Normal"/>
    <w:qFormat/>
    <w:pPr>
      <w:suppressLineNumbers/>
      <w:tabs>
        <w:tab w:val="clear" w:pos="709"/>
        <w:tab w:val="center" w:pos="5216" w:leader="none"/>
        <w:tab w:val="right" w:pos="10432" w:leader="none"/>
      </w:tabs>
    </w:pPr>
    <w:rPr/>
  </w:style>
  <w:style w:type="paragraph" w:styleId="Style18">
    <w:name w:val="Колонтитул"/>
    <w:basedOn w:val="Normal"/>
    <w:qFormat/>
    <w:pPr/>
    <w:rPr/>
  </w:style>
  <w:style w:type="paragraph" w:styleId="Footer">
    <w:name w:val="Footer"/>
    <w:basedOn w:val="Style17"/>
    <w:pPr>
      <w:suppressLineNumbers/>
    </w:pPr>
    <w:rPr/>
  </w:style>
  <w:style w:type="paragraph" w:styleId="Style19">
    <w:name w:val="Содержимое таблицы"/>
    <w:basedOn w:val="Normal"/>
    <w:qFormat/>
    <w:pPr/>
    <w:rPr/>
  </w:style>
  <w:style w:type="paragraph" w:styleId="Style20">
    <w:name w:val="Заголовок таблицы"/>
    <w:basedOn w:val="Style19"/>
    <w:qFormat/>
    <w:pPr>
      <w:suppressLineNumbers/>
      <w:jc w:val="center"/>
    </w:pPr>
    <w:rPr>
      <w:b/>
      <w:bCs/>
    </w:rPr>
  </w:style>
  <w:style w:type="paragraph" w:styleId="13">
    <w:name w:val="Указатель1"/>
    <w:basedOn w:val="Normal"/>
    <w:qFormat/>
    <w:pPr/>
    <w:rPr>
      <w:rFonts w:eastAsia="Mangal"/>
      <w:lang w:eastAsia="ar-SA"/>
    </w:rPr>
  </w:style>
  <w:style w:type="paragraph" w:styleId="14">
    <w:name w:val="Название объекта1"/>
    <w:basedOn w:val="Normal"/>
    <w:qFormat/>
    <w:pPr>
      <w:spacing w:before="120" w:after="120"/>
    </w:pPr>
    <w:rPr>
      <w:rFonts w:eastAsia="Mangal"/>
      <w:i/>
      <w:iCs/>
      <w:lang w:eastAsia="ar-SA"/>
    </w:rPr>
  </w:style>
  <w:style w:type="paragraph" w:styleId="21">
    <w:name w:val="Указатель2"/>
    <w:basedOn w:val="Normal"/>
    <w:qFormat/>
    <w:pPr/>
    <w:rPr>
      <w:rFonts w:eastAsia="Mangal"/>
      <w:lang w:eastAsia="ar-SA"/>
    </w:rPr>
  </w:style>
  <w:style w:type="paragraph" w:styleId="Style21">
    <w:name w:val="Название объекта"/>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rsid w:val="000a2c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5761</TotalTime>
  <Application>LibreOffice/7.6.2.1$Windows_X86_64 LibreOffice_project/56f7684011345957bbf33a7ee678afaf4d2ba333</Application>
  <AppVersion>15.0000</AppVersion>
  <Pages>4</Pages>
  <Words>2215</Words>
  <Characters>15506</Characters>
  <CharactersWithSpaces>17802</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dc:description>t Forget to wish him</dc:description>
  <cp:keywords>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cp:keywords>
  <dc:language>ru-RU</dc:language>
  <cp:lastModifiedBy/>
  <dcterms:modified xsi:type="dcterms:W3CDTF">2024-02-29T19:35:52Z</dcterms:modified>
  <cp:revision>125</cp:revision>
  <dc:subject>Birthday</dc:subject>
  <dc:title>Are You suprised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